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001-42450</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 Lianmeng Road, Jilin Economic &amp; Technical Development Zone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Jilin City, Jilin Province,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1540"/>
        <w:spacing w:after="0"/>
        <w:rPr>
          <w:sz w:val="20"/>
          <w:szCs w:val="20"/>
          <w:color w:val="auto"/>
        </w:rPr>
      </w:pPr>
      <w:r>
        <w:rPr>
          <w:rFonts w:ascii="Times New Roman" w:cs="Times New Roman" w:eastAsia="Times New Roman" w:hAnsi="Times New Roman"/>
          <w:sz w:val="18"/>
          <w:szCs w:val="18"/>
          <w:b w:val="1"/>
          <w:bCs w:val="1"/>
          <w:color w:val="auto"/>
        </w:rPr>
        <w:t>Results of Zhengye Biotechnology Holding Limited’s Annual General Meeting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General Meeting of Shareholders (the “Meeting”) of Zhengye Biotechnology Holding Limited (the “Company”) was held at No. 1 Lianmeng Road, Jilin Economic &amp; Technical Development Zone Jilin City, Jilin Province, China, on March 24, 2026, at 8:00 a.m. ET, with the ability given to the shareholders to join virtually via live audio webcast at www.virtualshareholdermeeting.com/ZYBT2026.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close of business on February 12, 2026, the record date for the determination of shareholders entitled to vote at the Meeting, there were 47,391,376ordinary shares (the “Ordinary Shares”) outstanding, each share being entitled to one (1) vote, constituting all of the outstanding voting securities of the Company. At the Meeting, the holders of 43,133,362 Ordinary Shares of the Company, representing 43,133,362 votes, were represented in person or by proxy, constituting a quorum.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the shareholders of the Company adopted the following resolutions: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the election of two director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the re-election of certain current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the share reclassification;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the share consolidation; and</w:t>
      </w:r>
    </w:p>
    <w:p>
      <w:pPr>
        <w:spacing w:after="0" w:line="225" w:lineRule="exact"/>
        <w:rPr>
          <w:rFonts w:ascii="Times New Roman" w:cs="Times New Roman" w:eastAsia="Times New Roman" w:hAnsi="Times New Roman"/>
          <w:sz w:val="18"/>
          <w:szCs w:val="18"/>
          <w:color w:val="auto"/>
        </w:rPr>
      </w:pPr>
    </w:p>
    <w:p>
      <w:pPr>
        <w:ind w:right="2400" w:firstLine="332"/>
        <w:spacing w:after="0" w:line="506" w:lineRule="auto"/>
        <w:tabs>
          <w:tab w:leader="none" w:pos="6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to approve the adoption of the new memorandum and articles of association of the Company. The results of the vote at the Meeting for the resolutions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7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43,092,532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24,730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 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43,090,399</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26,743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16,220</w:t>
            </w:r>
          </w:p>
        </w:tc>
      </w:tr>
      <w:tr>
        <w:trPr>
          <w:trHeight w:val="216"/>
        </w:trPr>
        <w:tc>
          <w:tcPr>
            <w:tcW w:w="7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 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43,023,158</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90,024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20,180</w:t>
            </w:r>
          </w:p>
        </w:tc>
      </w:tr>
      <w:tr>
        <w:trPr>
          <w:trHeight w:val="216"/>
        </w:trPr>
        <w:tc>
          <w:tcPr>
            <w:tcW w:w="7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 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43,088,491</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44,771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 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43,025,957</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91,275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16,130</w:t>
            </w:r>
          </w:p>
        </w:tc>
      </w:tr>
    </w:tbl>
    <w:p>
      <w:pPr>
        <w:spacing w:after="0" w:line="198" w:lineRule="exact"/>
        <w:rPr>
          <w:sz w:val="20"/>
          <w:szCs w:val="20"/>
          <w:color w:val="auto"/>
        </w:rPr>
      </w:pPr>
    </w:p>
    <w:p>
      <w:pPr>
        <w:ind w:left="5580" w:right="3260" w:hanging="5572"/>
        <w:spacing w:after="0" w:line="783" w:lineRule="auto"/>
        <w:tabs>
          <w:tab w:leader="none" w:pos="3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in this column correspond to the resolutions enumerated in the third paragraph of this report.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Songlin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Songlin Song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2026-03-25T05:10:52Z</dcterms:created>
  <dcterms:modified xsi:type="dcterms:W3CDTF">2026-03-25T05:10:52Z</dcterms:modified>
</cp:coreProperties>
</file>