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942-6k_zhengye.htm"/>
      <w:bookmarkStart w:id="1" w:name="ksea03009426k_zhengye"/>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Zhengye Biotechnology Holding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 Lianmeng Road, Jilin Economic &amp; Technical Development Zone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Jilin City, Jilin Province,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the report on Form 6-K dated June 4, 2026 filed by Zhengye Biotechnology Holding Limited (the “Company”) with the U.S. Securities and Exchange Commission, the Company received a notification letter on May 29, 2026 from Nasdaq indicating that the closing bid price of the Company’s Class A ordinary shares had been below $1.00 per share for 30 consecutive business days and that the Company did not meet the minimum bid price requirement set forth in Nasdaq Listing Rule 5550(a)(2) (the “Minimum Bid Price Rule”). Pursuant to Nasdaq Listing Rule 5810(c)(3)(A), the Company has a compliance period of one hundred eighty (180) calendar days, or until November 25, 2026 (the “Compliance Period”), to regain compliance with the Minimum Bid Price Rule. If at any time during the Compliance Period, the closing bid price per share of the Company’s Class A ordinary shares is at least $1.00 for a minimum of ten (10) consecutive business days, Nasdaq will provide the Company a written confirmation of compliance and the matter will be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July 20, 2026 to August 4, 2026, the closing bid price of the Company’s Class A ordinary shares has been at $1.00 per share or greater. Accordingly, on August 5, 2026, the Company received a letter (the “Compliance Letter”) from Nasdaq informing the Company that it has regained compliance with the Minimum Bid Price Rule. The Company continues to be listed on The Nasdaq Capital Market under the ticker symbol “ZYBT”.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Company announced through a press release that it has regained compliance with the Minimum Bid Price Rule. A copy of this press release is attached hereto as Exhibit 99.1,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4"/>
        <w:gridCol w:w="60"/>
        <w:gridCol w:w="9161"/>
      </w:tblGrid>
      <w:tr>
        <w:trPr/>
        <w:tc>
          <w:tcPr>
            <w:tcW w:w="984"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61"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984"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1" w:type="dxa"/>
            <w:tcBorders/>
            <w:shd w:fill="CCEEFF" w:val="clear"/>
            <w:tcMar>
              <w:bottom w:w="0" w:type="dxa"/>
            </w:tcMar>
            <w:vAlign w:val="center"/>
          </w:tcPr>
          <w:p>
            <w:pPr>
              <w:pStyle w:val="TableContents"/>
              <w:bidi w:val="0"/>
              <w:spacing w:before="0" w:after="283"/>
              <w:jc w:val="both"/>
              <w:rPr/>
            </w:pPr>
            <w:hyperlink w:anchor="ea030094201ex99-1.htm">
              <w:r>
                <w:rPr>
                  <w:rStyle w:val="InternetLink"/>
                  <w:sz w:val="20"/>
                </w:rPr>
                <w:t>Press release — Zhengye Biotechnology Holding Limited Regains Compliance with Nasdaq Bid Price Requirement</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6, 2026</w:t>
      </w:r>
    </w:p>
    <w:p>
      <w:pPr>
        <w:pStyle w:val="TextBody"/>
        <w:bidi w:val="0"/>
        <w:spacing w:before="0" w:after="0"/>
        <w:ind w:left="0" w:right="0" w:hanging="0"/>
        <w:jc w:val="both"/>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75"/>
        <w:gridCol w:w="797"/>
        <w:gridCol w:w="2702"/>
      </w:tblGrid>
      <w:tr>
        <w:trPr/>
        <w:tc>
          <w:tcPr>
            <w:tcW w:w="75" w:type="dxa"/>
            <w:tcBorders/>
            <w:vAlign w:val="center"/>
          </w:tcPr>
          <w:p>
            <w:pPr>
              <w:pStyle w:val="TableContents"/>
              <w:bidi w:val="0"/>
              <w:spacing w:before="0" w:after="283"/>
              <w:jc w:val="both"/>
              <w:rPr/>
            </w:pPr>
            <w:r>
              <w:rPr/>
              <w:t> </w:t>
            </w:r>
          </w:p>
        </w:tc>
        <w:tc>
          <w:tcPr>
            <w:tcW w:w="3499" w:type="dxa"/>
            <w:gridSpan w:val="2"/>
            <w:tcBorders/>
            <w:vAlign w:val="center"/>
          </w:tcPr>
          <w:p>
            <w:pPr>
              <w:pStyle w:val="TableContents"/>
              <w:bidi w:val="0"/>
              <w:spacing w:before="0" w:after="283"/>
              <w:jc w:val="left"/>
              <w:rPr>
                <w:b/>
                <w:sz w:val="20"/>
              </w:rPr>
            </w:pPr>
            <w:r>
              <w:rPr>
                <w:b/>
                <w:sz w:val="20"/>
              </w:rPr>
              <w:t>Zhengye Biotechnology Holding Limited</w:t>
            </w:r>
          </w:p>
        </w:tc>
      </w:tr>
      <w:tr>
        <w:trPr/>
        <w:tc>
          <w:tcPr>
            <w:tcW w:w="75" w:type="dxa"/>
            <w:tcBorders/>
            <w:vAlign w:val="center"/>
          </w:tcPr>
          <w:p>
            <w:pPr>
              <w:pStyle w:val="TableContents"/>
              <w:bidi w:val="0"/>
              <w:spacing w:before="0" w:after="283"/>
              <w:jc w:val="both"/>
              <w:rPr/>
            </w:pPr>
            <w:r>
              <w:rPr/>
              <w:t> </w:t>
            </w:r>
          </w:p>
        </w:tc>
        <w:tc>
          <w:tcPr>
            <w:tcW w:w="797" w:type="dxa"/>
            <w:tcBorders/>
            <w:vAlign w:val="center"/>
          </w:tcPr>
          <w:p>
            <w:pPr>
              <w:pStyle w:val="TableContents"/>
              <w:bidi w:val="0"/>
              <w:spacing w:before="0" w:after="283"/>
              <w:jc w:val="both"/>
              <w:rPr/>
            </w:pPr>
            <w:r>
              <w:rPr/>
              <w:t> </w:t>
            </w:r>
          </w:p>
        </w:tc>
        <w:tc>
          <w:tcPr>
            <w:tcW w:w="270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97" w:type="dxa"/>
            <w:tcBorders/>
            <w:vAlign w:val="center"/>
          </w:tcPr>
          <w:p>
            <w:pPr>
              <w:pStyle w:val="TableContents"/>
              <w:bidi w:val="0"/>
              <w:spacing w:before="0" w:after="283"/>
              <w:jc w:val="both"/>
              <w:rPr>
                <w:sz w:val="20"/>
              </w:rPr>
            </w:pPr>
            <w:r>
              <w:rPr>
                <w:sz w:val="20"/>
              </w:rPr>
              <w:t>By:</w:t>
            </w:r>
          </w:p>
        </w:tc>
        <w:tc>
          <w:tcPr>
            <w:tcW w:w="2702" w:type="dxa"/>
            <w:tcBorders>
              <w:bottom w:val="single" w:sz="12" w:space="0" w:color="000000"/>
            </w:tcBorders>
            <w:tcMar>
              <w:bottom w:w="28" w:type="dxa"/>
            </w:tcMar>
            <w:vAlign w:val="center"/>
          </w:tcPr>
          <w:p>
            <w:pPr>
              <w:pStyle w:val="TableContents"/>
              <w:bidi w:val="0"/>
              <w:spacing w:before="0" w:after="283"/>
              <w:jc w:val="both"/>
              <w:rPr>
                <w:i/>
                <w:sz w:val="20"/>
              </w:rPr>
            </w:pPr>
            <w:r>
              <w:rPr>
                <w:i/>
                <w:sz w:val="20"/>
              </w:rPr>
              <w:t>/s/ Songlin Song</w:t>
            </w:r>
          </w:p>
        </w:tc>
      </w:tr>
      <w:tr>
        <w:trPr/>
        <w:tc>
          <w:tcPr>
            <w:tcW w:w="75" w:type="dxa"/>
            <w:tcBorders/>
            <w:vAlign w:val="center"/>
          </w:tcPr>
          <w:p>
            <w:pPr>
              <w:pStyle w:val="TableContents"/>
              <w:bidi w:val="0"/>
              <w:spacing w:before="0" w:after="283"/>
              <w:jc w:val="both"/>
              <w:rPr/>
            </w:pPr>
            <w:r>
              <w:rPr/>
              <w:t> </w:t>
            </w:r>
          </w:p>
        </w:tc>
        <w:tc>
          <w:tcPr>
            <w:tcW w:w="797" w:type="dxa"/>
            <w:tcBorders/>
            <w:vAlign w:val="center"/>
          </w:tcPr>
          <w:p>
            <w:pPr>
              <w:pStyle w:val="TableContents"/>
              <w:bidi w:val="0"/>
              <w:spacing w:before="0" w:after="283"/>
              <w:jc w:val="both"/>
              <w:rPr>
                <w:sz w:val="20"/>
              </w:rPr>
            </w:pPr>
            <w:r>
              <w:rPr>
                <w:sz w:val="20"/>
              </w:rPr>
              <w:t>Name: </w:t>
            </w:r>
          </w:p>
        </w:tc>
        <w:tc>
          <w:tcPr>
            <w:tcW w:w="2702" w:type="dxa"/>
            <w:tcBorders/>
            <w:vAlign w:val="center"/>
          </w:tcPr>
          <w:p>
            <w:pPr>
              <w:pStyle w:val="TableContents"/>
              <w:bidi w:val="0"/>
              <w:spacing w:before="0" w:after="283"/>
              <w:jc w:val="both"/>
              <w:rPr>
                <w:sz w:val="20"/>
              </w:rPr>
            </w:pPr>
            <w:r>
              <w:rPr>
                <w:sz w:val="20"/>
              </w:rPr>
              <w:t>Songlin Song</w:t>
            </w:r>
          </w:p>
        </w:tc>
      </w:tr>
      <w:tr>
        <w:trPr/>
        <w:tc>
          <w:tcPr>
            <w:tcW w:w="75" w:type="dxa"/>
            <w:tcBorders/>
            <w:vAlign w:val="center"/>
          </w:tcPr>
          <w:p>
            <w:pPr>
              <w:pStyle w:val="TableContents"/>
              <w:bidi w:val="0"/>
              <w:spacing w:before="0" w:after="283"/>
              <w:jc w:val="both"/>
              <w:rPr/>
            </w:pPr>
            <w:r>
              <w:rPr/>
              <w:t> </w:t>
            </w:r>
          </w:p>
        </w:tc>
        <w:tc>
          <w:tcPr>
            <w:tcW w:w="797" w:type="dxa"/>
            <w:tcBorders/>
            <w:vAlign w:val="center"/>
          </w:tcPr>
          <w:p>
            <w:pPr>
              <w:pStyle w:val="TableContents"/>
              <w:bidi w:val="0"/>
              <w:spacing w:before="0" w:after="283"/>
              <w:jc w:val="both"/>
              <w:rPr>
                <w:sz w:val="20"/>
              </w:rPr>
            </w:pPr>
            <w:r>
              <w:rPr>
                <w:sz w:val="20"/>
              </w:rPr>
              <w:t>Title:</w:t>
            </w:r>
          </w:p>
        </w:tc>
        <w:tc>
          <w:tcPr>
            <w:tcW w:w="2702" w:type="dxa"/>
            <w:tcBorders/>
            <w:vAlign w:val="center"/>
          </w:tcPr>
          <w:p>
            <w:pPr>
              <w:pStyle w:val="TableContents"/>
              <w:bidi w:val="0"/>
              <w:spacing w:before="0" w:after="283"/>
              <w:jc w:val="both"/>
              <w:rPr>
                <w:sz w:val="20"/>
              </w:rPr>
            </w:pPr>
            <w:r>
              <w:rPr>
                <w:sz w:val="20"/>
              </w:rPr>
              <w:t xml:space="preserve">Chief Executive Officer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94201ex99-1.htm"/>
      <w:bookmarkStart w:id="3" w:name="ksea030094201ex991"/>
      <w:bookmarkEnd w:id="2"/>
      <w:bookmarkEnd w:id="3"/>
      <w:r>
        <w:rPr>
          <w:rFonts w:ascii="Times New Roman;Times;Serif" w:hAnsi="Times New Roman;Times;Serif"/>
          <w:b/>
          <w:i w:val="false"/>
          <w:caps w:val="false"/>
          <w:smallCaps w:val="false"/>
          <w:sz w:val="20"/>
        </w:rPr>
        <w:t>Exhibit 99.1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Zhengye Biotechnology Holding Limited Regains Compliance with Nasdaq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Jilin, China, August 6, 2026 (GLOBE NEWSWIRE) -- Zhengye Biotechnology Holding Limited (Nasdaq: ZYBT) (the “Company” or “Zhengye”), a veterinary vaccine manufacturer that encompasses research, development, manufacturing, and sales of veterinary vaccines, with a focus on livestock vaccines in China, today announced that on August 5, 2026, the Company received a letter (the “Compliance Letter”) from The Nasdaq Stock Market LLC (“Nasdaq”) informing the Company that it has regained compliance with the minimum bid price requirement of $1.00 per share under Nasdaq Listing Rule 5550(a)(2).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May 29, 2026, the Company received a notification letter from Nasdaq indicating that the closing bid price of the Company’s Class A ordinary shares had been below $1.00 per share for 30 consecutive business days. Nasdaq has since determined that, for the last 10 consecutive business days, from July 20, 2026 to August 4, 2026, the closing bid price of the Company’s Class A ordinary shares has been at $1.00 per share or greater. Accordingly, the Company has regained compliance with Nasdaq Listing Rule 5550(a)(2).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Zhengye continues to be listed on The Nasdaq Capital Market under the ticker symbol “ZYBT”.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Zhengye Biotechnology Holding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Jilin Zhengye Biological Products Co., Ltd., the Company’s operating entity based in Jilin, China, Zhengye Biotechnology Holding Limited focuses on the research, development, manufacturing, and sales of veterinary vaccines, with an emphasis on vaccines for livestock. For over 20 years, the operating entity has been committed to enhancing the health of animals. The operating entity has 50 veterinary vaccines, including vaccines for swine, cattle, goats, sheep, poultry, and dogs. The operating entity’s products are available in 29 provincial regions across China and are exported overseas to Vietnam, Pakistan, and Egypt as of the date of this press release. The operating entity has three veterinary vaccine production floors (including 13 vaccine production lines), one quality examination center, and one animal facility for vaccine development, all operating in accordance with Good Manufacturing Practices for Veterinary Drugs issued by the Ministry of Agriculture and Rural Affairs of the PRC. For more information, please visit the Company’s website: http://ir.jlzybio.com.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statements that may constitute “forward-looking” statements which are made pursuant to the “safe harbor” provisions of the U.S. Private Securities Litigation Reform Act of 1995.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“approximates,” “believes,” “hopes,” “expects,” “anticipates,” “estimates,” “projects,” “intends,” “plans,” “will,” “would,” “should,” “could,” “may” or other similar expressions in this announcement. Statements that are not historical facts, including statements about the Company’s beliefs, plans, and expectations, are forward-looking statements. Forward-looking statements involve inherent risks and uncertainties.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United States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Zhengye Biotechnology Holding Limited</w:t>
      </w:r>
      <w:r>
        <w:rPr>
          <w:rFonts w:ascii="Times New Roman;Times;Serif" w:hAnsi="Times New Roman;Times;Serif"/>
          <w:b w:val="false"/>
          <w:i w:val="false"/>
          <w:caps w:val="false"/>
          <w:smallCaps w:val="false"/>
          <w:sz w:val="20"/>
        </w:rPr>
        <w:br/>
        <w:t>Investor Relations Department</w:t>
        <w:br/>
        <w:t>Email: ir@jlzybio.com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Ascent Investor Relations LLC</w:t>
      </w:r>
      <w:r>
        <w:rPr>
          <w:rFonts w:ascii="Times New Roman;Times;Serif" w:hAnsi="Times New Roman;Times;Serif"/>
          <w:b w:val="false"/>
          <w:i w:val="false"/>
          <w:caps w:val="false"/>
          <w:smallCaps w:val="false"/>
          <w:sz w:val="20"/>
        </w:rPr>
        <w:br/>
        <w:t>Tina Xiao</w:t>
        <w:br/>
        <w:t>Phone: +1-646-932-7242</w:t>
        <w:br/>
        <w:t>Email: investors@ascent-ir.com</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1072</Words>
  <Characters>6150</Characters>
  <CharactersWithSpaces>7234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