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686-6k_zhengye.htm"/>
      <w:bookmarkStart w:id="1" w:name="ksea02986866k_zhengye"/>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Zhengye Biotechnology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Lianmeng Road, Jilin Economic &amp; Technical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Jilin City, Jilin Province,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Zhengye Biotechnology Holding Limited (the “Company”) issued a press release on July 21, 2026, announcing the Company’s comments in response to recent unusual trading activity in the price and trading volume of its Class A ordinary shares. A copy of this press release is attached hereto as Exhibit 99.1,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085" w:type="dxa"/>
        <w:jc w:val="left"/>
        <w:tblInd w:w="0" w:type="dxa"/>
        <w:tblLayout w:type="fixed"/>
        <w:tblCellMar>
          <w:top w:w="0" w:type="dxa"/>
          <w:left w:w="0" w:type="dxa"/>
          <w:bottom w:w="28" w:type="dxa"/>
          <w:right w:w="0" w:type="dxa"/>
        </w:tblCellMar>
      </w:tblPr>
      <w:tblGrid>
        <w:gridCol w:w="995"/>
        <w:gridCol w:w="60"/>
        <w:gridCol w:w="803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03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30" w:type="dxa"/>
            <w:tcBorders/>
            <w:shd w:fill="CCEEFF" w:val="clear"/>
            <w:tcMar>
              <w:bottom w:w="0" w:type="dxa"/>
            </w:tcMar>
            <w:vAlign w:val="center"/>
          </w:tcPr>
          <w:p>
            <w:pPr>
              <w:pStyle w:val="TableContents"/>
              <w:bidi w:val="0"/>
              <w:spacing w:before="0" w:after="283"/>
              <w:jc w:val="both"/>
              <w:rPr/>
            </w:pPr>
            <w:hyperlink w:anchor="ea029868601ex99-1.htm">
              <w:r>
                <w:rPr>
                  <w:rStyle w:val="InternetLink"/>
                  <w:sz w:val="20"/>
                </w:rPr>
                <w:t>Press release — Zhengye Biotechnology Holding Limited Comments on Unusual Trading Activity</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21, 2026</w:t>
      </w:r>
    </w:p>
    <w:p>
      <w:pPr>
        <w:pStyle w:val="TextBody"/>
        <w:bidi w:val="0"/>
        <w:spacing w:before="0" w:after="0"/>
        <w:ind w:left="0" w:right="0" w:hanging="0"/>
        <w:jc w:val="both"/>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797"/>
        <w:gridCol w:w="2702"/>
      </w:tblGrid>
      <w:tr>
        <w:trPr/>
        <w:tc>
          <w:tcPr>
            <w:tcW w:w="75" w:type="dxa"/>
            <w:tcBorders/>
            <w:vAlign w:val="center"/>
          </w:tcPr>
          <w:p>
            <w:pPr>
              <w:pStyle w:val="TableContents"/>
              <w:bidi w:val="0"/>
              <w:spacing w:before="0" w:after="283"/>
              <w:jc w:val="both"/>
              <w:rPr/>
            </w:pPr>
            <w:r>
              <w:rPr/>
              <w:t> </w:t>
            </w:r>
          </w:p>
        </w:tc>
        <w:tc>
          <w:tcPr>
            <w:tcW w:w="3499" w:type="dxa"/>
            <w:gridSpan w:val="2"/>
            <w:tcBorders/>
            <w:vAlign w:val="center"/>
          </w:tcPr>
          <w:p>
            <w:pPr>
              <w:pStyle w:val="TableContents"/>
              <w:bidi w:val="0"/>
              <w:spacing w:before="0" w:after="283"/>
              <w:jc w:val="left"/>
              <w:rPr>
                <w:b/>
                <w:sz w:val="20"/>
              </w:rPr>
            </w:pPr>
            <w:r>
              <w:rPr>
                <w:b/>
                <w:sz w:val="20"/>
              </w:rPr>
              <w:t>Zhengye Biotechnology Holding Limited</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pPr>
            <w:r>
              <w:rPr/>
              <w:t> </w:t>
            </w:r>
          </w:p>
        </w:tc>
        <w:tc>
          <w:tcPr>
            <w:tcW w:w="27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sz w:val="20"/>
              </w:rPr>
            </w:pPr>
            <w:r>
              <w:rPr>
                <w:sz w:val="20"/>
              </w:rPr>
              <w:t>By:</w:t>
            </w:r>
          </w:p>
        </w:tc>
        <w:tc>
          <w:tcPr>
            <w:tcW w:w="2702"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Songlin Song</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sz w:val="20"/>
              </w:rPr>
            </w:pPr>
            <w:r>
              <w:rPr>
                <w:sz w:val="20"/>
              </w:rPr>
              <w:t>Name: </w:t>
            </w:r>
          </w:p>
        </w:tc>
        <w:tc>
          <w:tcPr>
            <w:tcW w:w="2702" w:type="dxa"/>
            <w:tcBorders/>
            <w:vAlign w:val="center"/>
          </w:tcPr>
          <w:p>
            <w:pPr>
              <w:pStyle w:val="TableContents"/>
              <w:bidi w:val="0"/>
              <w:spacing w:before="0" w:after="283"/>
              <w:jc w:val="both"/>
              <w:rPr>
                <w:sz w:val="20"/>
              </w:rPr>
            </w:pPr>
            <w:r>
              <w:rPr>
                <w:sz w:val="20"/>
              </w:rPr>
              <w:t>Songlin Song</w:t>
            </w:r>
          </w:p>
        </w:tc>
      </w:tr>
      <w:tr>
        <w:trPr/>
        <w:tc>
          <w:tcPr>
            <w:tcW w:w="75" w:type="dxa"/>
            <w:tcBorders/>
            <w:vAlign w:val="center"/>
          </w:tcPr>
          <w:p>
            <w:pPr>
              <w:pStyle w:val="TableContents"/>
              <w:bidi w:val="0"/>
              <w:spacing w:before="0" w:after="283"/>
              <w:jc w:val="both"/>
              <w:rPr/>
            </w:pPr>
            <w:r>
              <w:rPr/>
              <w:t> </w:t>
            </w:r>
          </w:p>
        </w:tc>
        <w:tc>
          <w:tcPr>
            <w:tcW w:w="797" w:type="dxa"/>
            <w:tcBorders/>
            <w:vAlign w:val="center"/>
          </w:tcPr>
          <w:p>
            <w:pPr>
              <w:pStyle w:val="TableContents"/>
              <w:bidi w:val="0"/>
              <w:spacing w:before="0" w:after="283"/>
              <w:jc w:val="both"/>
              <w:rPr>
                <w:sz w:val="20"/>
              </w:rPr>
            </w:pPr>
            <w:r>
              <w:rPr>
                <w:sz w:val="20"/>
              </w:rPr>
              <w:t>Title:</w:t>
            </w:r>
          </w:p>
        </w:tc>
        <w:tc>
          <w:tcPr>
            <w:tcW w:w="2702" w:type="dxa"/>
            <w:tcBorders/>
            <w:vAlign w:val="center"/>
          </w:tcPr>
          <w:p>
            <w:pPr>
              <w:pStyle w:val="TableContents"/>
              <w:bidi w:val="0"/>
              <w:spacing w:before="0" w:after="283"/>
              <w:jc w:val="both"/>
              <w:rPr>
                <w:sz w:val="20"/>
              </w:rPr>
            </w:pPr>
            <w:r>
              <w:rPr>
                <w:sz w:val="20"/>
              </w:rPr>
              <w:t xml:space="preserve">Chief Executive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 w:name="ea029868601ex99-1.htm"/>
      <w:bookmarkStart w:id="3" w:name="ksea029868601ex991"/>
      <w:bookmarkEnd w:id="2"/>
      <w:bookmarkEnd w:id="3"/>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Zhengye Biotechnology Holding Limited Comments on Unusual Trading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Jilin, China, July 21, 2026 (GLOBE NEWSWIRE) -- Zhengye Biotechnology Holding Limited (Nasdaq: ZYBT) (the “Company” or “Zhengye”), a veterinary vaccine manufacturer that encompasses research, development, manufacturing, and sales of veterinary vaccines, with a focus on livestock vaccines in China, today issued the following statement in response to recent unusual trading activity in the price and trading volume of its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normally comment on market activity or rumors. However, in light of the magnitude of the recent trading activity in the Company’s securities, the Company is providing the following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that it is not aware of any material non-public information regarding the Company, its business, financial condition, or operations that would account for the recent increase in trading activity in its securities. The Company’s business operations continue in the ordinary course, and there have been no undisclosed corporate developments, transactions, or events that management believes would explain the recent price or volume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in contact with Nasdaq regarding the recent increase in trading volume of the shares of the Company and will continue to cooperate with Nasdaq and other relevant regulatory authorities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prospective investors are cautioned to exercise care when evaluating the Company’s securities in light of the recent volatility and to rely only on information contained in the Company’s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Zhengye Biotechnology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Jilin Zhengye Biological Products Co., Ltd., the Company’s operating entity based in Jilin, China, Zhengye Biotechnology Holding Limited focuses on the research, development, manufacturing, and sales of veterinary vaccines, with an emphasis on vaccines for livestock. For over 20 years, the operating entity has been committed to enhancing the health of animals. The operating entity has 50 veterinary vaccines, including vaccines for swine, cattle, goats, sheep, poultry, and dogs. The operating entity’s products are available in 29 provincial regions across China and are exported overseas to Vietnam, Pakistan, and Egypt as of the date of this press release. The operating entity has three veterinary vaccine production floors (including 13 vaccine production lines), one quality examination center, and one animal facility for vaccine development, all operating in accordance with Good Manufacturing Practices for Veterinary Drugs issued by the Ministry of Agriculture and Rural Affairs of the PRC. For more information, please visit the Company’s website: http://ir.jlzybio.com.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which are made pursuant to the “safe harbor” provisions of the U.S. Private Securities Litigation Reform Act of 1995.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announcement. Statements that are not historical facts, including statements about the Company’s beliefs, plans, and expectations, are forward-looking statements. Forward-looking statements involve inherent risks and uncertainties.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Zhengye Biotechnology Holding Limited</w:t>
      </w:r>
      <w:r>
        <w:rPr>
          <w:rFonts w:ascii="Times New Roman;Times;Serif" w:hAnsi="Times New Roman;Times;Serif"/>
          <w:b w:val="false"/>
          <w:i w:val="false"/>
          <w:caps w:val="false"/>
          <w:smallCaps w:val="false"/>
          <w:sz w:val="20"/>
        </w:rPr>
        <w:br/>
        <w:t>Investor Relations Department</w:t>
        <w:br/>
        <w:t>Email: ir@jlzybio.com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885</Words>
  <Characters>5315</Characters>
  <CharactersWithSpaces>6208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