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860" w:right="720" w:hanging="3134"/>
        <w:spacing w:after="0" w:line="500" w:lineRule="auto"/>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2"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001-42450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No.1 Lianmeng Road, Jilin Economic &amp; Technical Development Zone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Jilin City, Jilin Province,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Songlin Song,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+86-0432-63047008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zhengyebiological@163.com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No.1 Lianmeng Road, Jilin Economic &amp; Technical Development Zone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Jilin City, Jilin Province,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ZYBT</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of 47,391,376 ordinary shares, par value $0.000025 per share, as of December 31, 2025.*</w:t>
      </w:r>
    </w:p>
    <w:p>
      <w:pPr>
        <w:spacing w:after="0" w:line="225" w:lineRule="exact"/>
        <w:rPr>
          <w:sz w:val="20"/>
          <w:szCs w:val="20"/>
          <w:color w:val="auto"/>
        </w:rPr>
      </w:pPr>
    </w:p>
    <w:p>
      <w:pPr>
        <w:ind w:firstLine="8"/>
        <w:spacing w:after="0" w:line="282" w:lineRule="auto"/>
        <w:tabs>
          <w:tab w:leader="none" w:pos="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fiscal year end, and effective on March 24, 2026, the Company’s ordinary shares were reclassified into Class A Ordinary Shares and Class B Ordinary Shares. See “Item 4. Information on the Company — A. History and Development of the Company” for additional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sectPr>
          <w:pgSz w:w="11900" w:h="16838" w:orient="portrait"/>
          <w:cols w:equalWidth="0" w:num="4">
            <w:col w:w="1620" w:space="640"/>
            <w:col w:w="4900" w:space="720"/>
            <w:col w:w="2080" w:space="720"/>
            <w:col w:w="560"/>
          </w:cols>
          <w:pgMar w:left="320" w:top="877"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w:t>
      </w:r>
    </w:p>
    <w:p>
      <w:pPr>
        <w:spacing w:after="0" w:line="27" w:lineRule="exact"/>
        <w:rPr>
          <w:sz w:val="20"/>
          <w:szCs w:val="20"/>
          <w:color w:val="auto"/>
        </w:rPr>
      </w:pPr>
    </w:p>
    <w:p>
      <w:pPr>
        <w:jc w:val="center"/>
        <w:ind w:right="210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6" w:lineRule="exact"/>
        <w:rPr>
          <w:sz w:val="20"/>
          <w:szCs w:val="20"/>
          <w:color w:val="auto"/>
        </w:rPr>
      </w:pPr>
    </w:p>
    <w:p>
      <w:pPr>
        <w:sectPr>
          <w:pgSz w:w="11900" w:h="16838" w:orient="portrait"/>
          <w:cols w:equalWidth="0" w:num="3">
            <w:col w:w="2740" w:space="720"/>
            <w:col w:w="6440" w:space="720"/>
            <w:col w:w="620"/>
          </w:cols>
          <w:pgMar w:left="320" w:top="877" w:right="339" w:bottom="1440" w:gutter="0" w:footer="0" w:header="0"/>
          <w:type w:val="continuous"/>
        </w:sectPr>
      </w:pPr>
    </w:p>
    <w:p>
      <w:pPr>
        <w:spacing w:after="0" w:line="7" w:lineRule="exact"/>
        <w:rPr>
          <w:sz w:val="20"/>
          <w:szCs w:val="20"/>
          <w:color w:val="auto"/>
        </w:rPr>
      </w:pPr>
    </w:p>
    <w:p>
      <w:pPr>
        <w:ind w:left="340" w:hanging="332"/>
        <w:spacing w:after="0" w:line="239"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98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1400" w:type="dxa"/>
            <w:vAlign w:val="bottom"/>
            <w:shd w:val="clear" w:color="auto" w:fill="CCEEFF"/>
          </w:tcPr>
          <w:p>
            <w:pPr>
              <w:ind w:left="88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106</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106</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16B.</w:t>
            </w:r>
          </w:p>
        </w:tc>
        <w:tc>
          <w:tcPr>
            <w:tcW w:w="71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CODE OF ETHICS</w:t>
            </w:r>
          </w:p>
        </w:tc>
        <w:tc>
          <w:tcPr>
            <w:tcW w:w="2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201"/>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1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2940" w:type="dxa"/>
            <w:vAlign w:val="bottom"/>
            <w:tcBorders>
              <w:bottom w:val="single" w:sz="8" w:color="CCEEFF"/>
            </w:tcBorders>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71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94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20-F, unless the context otherwise requires, references to:</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are to the British Virgin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Companies Act” are to the Companies Act (Revised) of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excluding Taiwan for the purposes of this annual report only;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the Class A ordinary shares, par value US$0.000025 per share, of Zhengye Biotechnology Holding Limited, which were created upon the reclassification of ordinary shares effective March 24,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the Class B ordinary shares, par value US$0.000025 per share, of Zhengye Biotechnology Holding Limited, which were created upon the reclassification of ordinary shares effective March 24,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“GMP” are to Good Manufacturing Practice;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are to Zhengye Biotechnology Holding Limited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 are to Good Supplying Practice;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“HKD” or “HK$” are to the legal currency of Hong Kong;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are to the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“ODI filings” are to the formalities and filings of overseas direct investment of Chinese enterprises, including but not limited to fulfilling the filing, approval or registration procedures in the development and reform authorities, the competent commercial authorities, and foreign exchange administration authorities and competent banks authorized by such authorities;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the Class A Ordinary Shares and Class B Ordinary Shares, collectively, following the share reclassification and adoption of dual-class share structure effective March 24, 2026;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“US$,” or “U.S. dollars” are to the legal currency of the United States.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fiscal years ended December 31, 2025, 2024, and 2023. In this annual report, we refer to assets, obligations, commitments, and liabilities in our consolidated financial statements in Renminbi. This annual report also contains translations of certain foreign currency amounts into U.S. dollars for the convenience of the reader. Unless otherwise stated, all translations of Renminbi into U.S. dollars were made at RMB6.9931 to US$1.00, the exchange rate set forth in the H.10 statistical release of the Federal Reserve Board on December 31, 2025. We make no representation that the Renminbi or U.S. dollars amounts referred to in this annual report could have been or could be converted into U.S. dollars or Renminbi at any particular rate or at all. Changes in the exchange rate will affect the amount of our obligations and the value of our assets in terms of United States dollars which may result in an increase or decrease in the amount of our obligations and the value of our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annual report, unless otherwise stated, the terms “we,” “us,” “our,” “Zhengye Cayman,” “our Company,” and the “Company” refer to Zhengye Biotechnology Holding Limited, an exempted company limited by shares incorporated under the laws of the Cayman Islands and not a Chinese operating company or Hong Kong operating company. As a holding company with no material operations of its own, Zhengye Cayman conducts its operations through its principal subsidiary incorporated in China. The operations of the PRC subsidiaries could affect other parts of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covers the fiscal year ended December 31, 2025. Subsequent to the fiscal year end, and effective on March 24, 2026, the Company’s shareholders approved the adoption of a dual-class share structure and the Company’s ordinary shares were reclassified into Class A Ordinary Shares and Class B Ordinary Shares (the “Share Reclassification”). Accordingly, references in this annual report to the Company’s share capital structure during the fiscal year 2025 refer to the single class of ordinary shares that existed prior to the Share Reclassification. References to the Company’s current share capital structure as of the date of this annual report reflect the dual-class structure following the Share Reclassification. See “Item 4. Information on the Company—A. History and Development of the Company” for a detailed description of the Share Reclassification.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in our Ordinary Shares should be aware that they will not directly hold equity interests in the PRC subsidiaries but rather are purchasing equity solely in Zhengye Biotechnology Holding Limited, a Cayman Islands holding company, which indirectly owns a majority of the equity interests in such PRC subsidiaries. The Chinese regulatory authorities could disallow this structure, which would likely result in a material change in our operations and/or a material change in the value of the securities we are registering for sale, including that it could cause the value of such securities to significantly decline or become worthless. For risks facing our Company as a result of our organizational structure and doing business in China, see “Item 3. Key Information—D. Risk Factors—Risks Related to Doing Business in China.” We do not currently use a variable interest entity (“VIE”) structure.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Zhengye Cayman is an exempted company incorporated in the Cayman Islands and not a Chinese or Hong Kong operating company. As a holding company with no material operations of its own, Zhengye Cayman conducts its operations through its principal subsidiary incorporated in China; therefore, we and the PRC subsidiaries are subject to legal and operational risks associated with being based in China, including risks related to the legal, political and economic policies of the Chinese government, the relations between China and the United States, or Chinese or United States regulations, which risks could result in a material change in the PRC subsidiaries’ operations and/or cause the value of our Class A Ordinary Shares to significantly decline or become worthless and affect our ability to offer or continue to offer securities to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being based in and having substantially all of the Company’s operations in China. These risks may result in material changes in our operations, or a complete hindrance of our ability to offer or continue to offer our securities to investors and could cause the value of such securities to significantly decline or become worthless.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annual report, neither we nor the operating entity have been involved in any investigations on cybersecurity review initiated by any PRC regulatory authority, nor has any of them received any inquiry, notice, or sanction. The Cybersecurity Review Measures became effective on February 15, 2022. As confirmed by our PRC counsel, Guantao Law Firm Hangzhou Office (“Guantao”), we do not expect to become subject to cybersecurity review by the CAC for our Class A Ordinary Shares, given that: (i) the data the operating entity handles in its business operations, either by its nature or in scale, do not trigger significant concerns over PRC national security; and (ii) neither we nor the operating entity have processed, or anticipate to process in the foreseeable future, personal information of more than one million users or persons. Based on the above and the information currently available, we believe the impact of the CAC’s increasing oversight over data security on the operating entity’s business is immaterial as of the date of this annual report. However, there remains uncertainty as to how the Cybersecurity Review Measures will be interpreted or implemented and whether the PRC regulatory authorities may adopt new laws, regulations, rules, or detailed implementation and interpretation in relation to, or in addition to the Cybersecurity Review Measures. While we intend to closely monitor the evolving laws and regulations in this area and take all reasonable measures to mitigate compliance risks, we cannot guarantee that the operating entity’s business and operations will not be adversely affected by the potential impact of the Cybersecurity Review Measures or other laws and regulations related to privacy, data protection, and information security. If the operating entity is subject to cybersecurity review and network data security review in the future, the operating entity must apply for a review conducted by the Cybersecurity Review Office of the PRC, which ranges from 30 to 90 working days. During such review, the operating entity may be required to suspend its operations or experience other disruptions to its operations. Cybersecurity review and network data security review could materially and adversely affect our business, financial conditions, and results of operations, which could cause the value of our securities to significantly decline or in extreme cases, become worthless. If the Office of Cybersecurity Review determines that our or the operating entity’s business or operations involve national security during its review, we and the operating entity may probably be banned from accepting foreign investments or listing on a Unites States or other foreign exchange. Furthermore, according to the Anti-Monopoly Law of the People’s Republic of China (the “Anti-Monopoly Law”), which took effect on August 1, 2008 and was revised in 2022, where the concentration of business operators reaches the filing threshold stipulated by the State Council of the People’s Republic of China (the “State Council”), business operators shall file a declaration with the State Administration for Market Regulation (the “SAMR”), and no concentration shall be implemented until the SAMR clears the anti-monopoly filing. We currently are not subject to the Anti-Monopoly Law because we don’t reach the filing threshold stipulated by the State Council. If we will be found to be subject to the Anti-Monopoly Law, we will be required to file a declaration with the SAMR, and no concentration shall be implemented until the SAMR clears the anti-monopoly filing, which ranges from 30 to 150 days. During such reviews, we may be required to suspend the operations or experience other disruptions to the operation, which will also result in negative publicity with respect to our Company and diversion of our managerial and financial resources, which could materially and adversely affect our business, financial conditions, and results of operations. If the SAMR determines that our or the operating entity’s business or operations involve national security, we and the operating entity may probably be banned from accepting foreign investments or listing on a Unites States or other foreign exchange. We believe that, based on the advice of Guantao, as of the date of this annual report, neither we nor the operating entity are subject to the Cybersecurity Review Measures or the Anti-Monopoly Law, because we and the operating entity fall below the review threshold stipulated by the CAC and the filing threshold stipulated by the State Council, and therefore, these laws do not have adverse impact on our ability to accept foreign investments or list on a Unites States or other foreign exchange. However, there are substantial uncertainties regarding the interpretation and application of PRC laws and regulations and future PRC laws and regulations, and there can be no assurance that the relevant government agencies will take a view that is contrary to, or otherwise different from, the conclusions stated above. If the relevant government agencies take a view that is contrary to, or otherwise different from, the foregoing conclusions, it could have a material adverse effect on the PRC subsidiaries’ business, operating results and reputation, as well as the trading price of our Class A Ordinary Shares and the Company’s ability to accept foreign investments or list on a U.S. or other foreign exchange. See “Risk Factors — Risks Relating to Doing Business in China — Recent greater oversight by the CAC over data security, particularly for companies seeking to list on a foreign exchange, could adversely impact our business and our offering” and “Risk Factors — Risks Relating to Doing Business in China — Uncertainties in the interpretation and enforcement of PRC laws and regulations and changes in policies, rules, and regulations in China, which may be quick with little advance notice, could limit the legal protection available to you and 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(“CSRC”) promulgated the Trial Administrative Measures of the Overseas Securities Offering and Listing by Domestic Companies (the “Overseas Listing Trial Measures”) and relevant five guidelines, which became effective on March 31, 2023. According to the Overseas Listing Trial Measures, PRC domestic companies that seek to offer and list securities in overseas markets, either in direct or indirect means, are required to fulfill the filing procedures with the CSRC and report relevant information. Based on the foregoing, our PRC counsel is of the view that we are required to complete the filing procedures with the CSRC in connection with the offering and listing. Any failure by us to comply with such filing requirements may result in orders to rectify, warnings and fines against us and could materially hinder our ability to offer or continue to offer our securities. We have filed with the CSRC the filing documents and completed the filing on January 8, 2024. Given the current PRC regulatory environment, it is uncertain whether we will be required to obtain approvals from the PRC government to offer securities to foreign investors in the future, and whether we would be able to obtain such approvals. If we are unable to obtain such approvals if required in the future, or inadvertently conclude that such approvals are not required then the value of our Class A Ordinary Shares may depreciate significantly or become worthless.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promulgated the Provisions on Strengthening Confidentiality and Archives Administration of Overseas Securities Offering and Listing by Domestic Companies (the “Confidentiality and Archives Administration Provisions”), which also became effective on March 31, 2023. According to the Confidentiality and Archives Administration Provisions, domestic companies that seek overseas offering and listing (either in direct or indirect means) and the securities companies and securities service (either incorporated domestically or overseas) providers that undertake relevant businesses shall institute a sound confidentiality and archives administration system and take necessary measures to fulfill confidentiality and archives administration obligations. They shall not leak any state secret and working secret of government agencies, or harm national security and public interest. Therefore, a domestic company that plans to, either directly or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The above-mentioned documents and materials that, if leaked, will be detrimental to national security or public interest, therefore, the domestic company shall strictly fulfill relevant procedures stipulated by applicable regulations.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Working papers produced in Chinese mainland by securities companies and securities service providers in the process of undertaking businesses related to overseas offering and listing by domestic companies shall be retained in Chinese mainland. Where such documents need to be transferred or transmitted to outside Chinese mainland, relevant approval procedures stipulated by regulations shall be followed. We believe that our securities offerings do not involve leaking any state secret and working secret of government agencies or harming national security and public interest. However, we may be required to perform additional procedures in connection with the provision of accounting archives in accordance with the Confidentiality and Archives Administration Provisions. The specific requirements of the relevant procedures are currently unclear, and we cannot be certain whether we will be able to perform the relevant procedures.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except for the Supplementary Material Request issued by the CSRC regarding our planned overseas listing on September 26, 2023, to which we responded by submitting supplementary materials on October 16, 2023, we and the operating entity have not received any inquiry, notice, warning, or sanctions regarding our planned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and the operating entity, our ability to accept foreign investments, and our listing on an U.S. exchange. The Standing Committee of the National People’s Congress (the “SCNPC”) or PRC regulatory authorities may in the future promulgate laws, regulations, or implementing rules that require us, or our subsidiaries, or the operating entity to obtain regulatory approval from Chinese authorities before listing in the U.S. If we do not receive or maintain the approval, or inadvertently conclude that such approval is not required, or applicable laws, regulations, or interpretations change such that we are required to obtain approval in the future, we may be subject to an investigation by competent regulators, fines or penalties, or an order prohibiting us from conducting an offering, and these risks could result in a material adverse change in our operations and the value of our Class A Ordinary Shares,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The same legal and operational risks associated with operations in mainland China also apply to operations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in the future. Due to the uncertainty of the PRC legal system and changes in laws, regulations, or policies, the Basic Law may be revised in the future and thus we may face the same legal and operational risks associated with operating in the PRC. If there is a significant change to current political arrangements between mainland China and Hong Kong, or if the applicable laws, regulations, or interpretations change, our Hong Kong subsidiary, Peg Biotechnology, may become subject to PRC laws or authorities. As a result, our Hong Kong subsidiary could incur material costs to ensure compliance, be subject to fines, experience devaluation of securities or delisting, no longer conduct offerings to foreign investors, and no longer be permitted to continue their current business operations.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under the Holding Foreign Companies Accountable Act, or the “HFCA Act,” if the Public Company Accounting Oversight Board (United States) (the “PCAOB”) is unable to inspect our auditors for three consecutive years beginning in 2022. On December 16, 2021, the PCAOB issued a report on its determinations that it is unable to inspect or investigate completely PCAOB-registered public accounting firms headquartered in mainland China or in Hong Kong, a Special Administration Region of the PRC, because of positions taken by PRC authorities in those jurisdictions. Our auditor, WWC, P.C., has been inspected by the PCAOB on a regular basis, with the last inspection completed in 2023, and it is not subject to the determinations announced by the PCAOB on December 16, 2021. 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and the PCAOB. The PCAOB is expected to continue to demand complete access to inspections and investigations against accounting firms headquartered in mainland China and Hong Kong in the future.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June 22, 2021, the U.S. Senate passed the Accelerating Holding Foreign Companies Accountable Act (“AHFCAA”),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See “Risk Factors — Risks Relating to Doing Business in the PRC — Recent joint statement by the SEC and the PCAOB, rule changed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significant risks. You should carefully consider all of the information in this annual report before investing in our securities. Below is a summary of the principal risks we face. These risks are discussed more fully under “Item 3. Key Information—D. Risk Factors.”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the PRC (for a more detailed discussion, see “Item 3. Key Information — D. Risk Factors — Risks Relating to Doing Business in the PRC”)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risks and uncertainties relating to doing business in the PRC in general, including, but not limited to,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the operating entity’s business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China against us or our management named in this annual report based on foreign laws. It may also be difficult for you or overseas regulators to conduct investigations or collect evidence within China;</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Chinese government’s significant oversight and discretion over the conduct of business of the operating entity, the Chinese government may intervene or influence its operations at any time, which could result in a material change in the operations of the operating entity and/or the value of our Class A Ordinary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by the Chinese government, including any decision to intervene or influence the operations of the operating entity or to exert control over any offering of securities conducted overseas and/or foreign investment in China-based issuers, may cause us to make material changes to the operations of the operating entity, may limit or completely hinder our ability to offer or continue to offer securities to investors, and may cause the value of such securities to significantly decline or be worthless;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greater oversight by the CAC over data security, particularly for companies seeking to list on a foreign exchange, could adversely impact our business and our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recently issued by the General Office of the Central Committee of the Communist Party of China and the General Office of the State Council may subject us and the operating entity to additional compliance requirements in the future;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joint statement by the SEC and the PCAOB, rule changes by Nasdaq, and the Holding Foreign Companies Accountable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cash or assets in the business are in the PRC/Hong Kong or a PRC/Hong Kong entities, the funds or assets may not be available to fund operations or for other use outside of the PRC/Hong Kong due to interventions in or the imposition of restrictions and limitations on the ability of our Company, our subsidiaries, or the operating entity by the PRC government to transfer cash or assets;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the operating entity’s business and profitability;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subject our PRC resident beneficial owners or the PRC subsidiaries to liability or penalties, limit our ability to inject capital into the PRC subsidiaries, limit the PRC subsidiaries’ ability to increase their registered capital or distribute profits to us, or may otherwise adversely affect us;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parent/subsidiary loans and direct investment by offshore holding companies to PRC entities may delay or prevent us from using the proceeds of offshore offerings to make loans or additional capital contributions to the PRC subsidiaries, which could materially and adversely affect their liquidity and their ability to fund and expand their business;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have a material and adverse effect on our results of operations and the value of your investment;</w:t>
      </w:r>
    </w:p>
    <w:p>
      <w:pPr>
        <w:spacing w:after="0" w:line="22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PRC Enterprise Income Tax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with respect to indirect transfers of equity interests in PRC resident enterprises by their non-PRC holding companies;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subsidiaries are subject to restrictions on paying dividends or making other payments to us, which may have a material adverse effect on our ability to conduct our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control of currency conversion may affect the value of your investment and our payment of dividends;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uncertainties under the EIT Law, relating to the withholding tax liabilities of the PRC subsidiaries, and dividends payable by our PRC subsidiaries to our offshore subsidiaries may not qualify to enjoy certain treaty benefits;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scrutiny, criticism, and negative publicity involving U.S.-listed Chinese companies, we may have to expend significant resources to investigate and resolve the matter which could harm our business operations, stock price, and reputation;</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certain acquisitions of Chinese companies by foreign investors, which could make it more difficult for us to pursue growth through acquisitions in China; and</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11" w:name="page12"/>
    <w:bookmarkEnd w:id="11"/>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regulatory authorities could disallow our holding company structure, which may result in a material change in our operations and/or a material change in the value of the securities we are registering for sale, including that it could cause the value of such securities to significantly decline or become worthless.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 in international trade, particularly between the United States and China, may adversely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 (for a more detailed discussion, see “Risk Factors — 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business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 operates in a highly-competitive market and our failure to compete effectively could adversely affect its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adverse effects on human health linked to the consumption of food derived from animals that utilize the operating entity’s products could cause a decline in the sales of such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relating to the raising, processing or consumption of food-producing animals could reduce demand for the operating entity’s livestock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business is subject to risk based on customer exposure to rising costs and reduced customer income;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 may not successfully acquire and integrate other businesses, license rights to technologies or products, form and manage alliances or divest businesses;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research and development, acquisition and licensing efforts may fail to generate new products and brand life-cycle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veterinary medical practices and animal health technologies could negatively affect the market for the operating entity’s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research and development relies on evaluations in animals;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problems may cause product launch delays, inventory shortages, recalls or unanticipated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 may fail to detect or cure defects of its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misuse or off-label use of the operating entity’s products may harm the operating entity’s reputation or result in financial or other damages;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revenue from swine vaccines and any reduction in demand of swine vaccines could have an adverse effect on our business, financial condition, results of operations, cash flows, and prospects;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health products are subject to unanticipated safety or efficacy concerns, which may harm the operating entity’s reputation;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entity’s historical growth rates and performance may not be sustainable or indicative of our future growth and financial results. We cannot guarantee that we will be able to maintain the growth rate we have experienced to 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business is subject to inherent risks relating to product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business will be materially and adversely affected if its collaborative partners, licensees and other third parties over whom the operating entity is very dependent fail to perform as expected;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business requires a number of permits and licenses. We cannot assure you that the operating entity can maintain all required licenses, permits and certifications to carry on its business at all times;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ability to generate more revenue would be adversely affected if it needs more clinical trials or take more time to complete its clinical trials than it has planned;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retain, attract, and motivate key personnel, we may be unable to effectively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operating entity is unable to obtain the regulatory approvals or clearances that are necessary to commercialize its products, we will have less revenue than expected;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 sources its raw materials used for manufacturing from a limited number of suppliers. If it loses one or more of the suppliers, its operation may be disrupted, and both the operating entity’s and our results of operations may be adversely and materially impacted;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customer concentration exposes the operating entity to all of the risks faced by its major customer and may subject it to significant fluctuations or declines in revenue, which may have a material adverse impact on the operating entity’s business, and its and our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image could have a material adverse effect on our growth strategy and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operating entity cannot successfully protect its intellectual property and exclusive rights, our brand and business would suffer;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 may be accused of infringing, misappropriating or otherwise violating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and regulatory proceedings from time to time in the ordinary course of our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violations of the U.S. Foreign Corrupt Practices Act and similar worldwide anti-bribery laws.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Relating to our Class A Ordinary Shares and the Trading Market (for a more detailed discussion, see “Risk Factors — Risks Relating to our Class A Ordinary Shares and the Trading Market”)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and uncertainties relating to our Class A Ordinary Shares and the trading market,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share structure with different voting rights may adversely affect the value and liquidity of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share structure with different voting rights will limit your ability to influence corporate matters and could discourage others from pursuing any change of control transactions that holders of our Class A Ordinary Shares may view as beneficial.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Class B Ordinary Shares may be dilutive to holders of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apply additional and more stringent criteria for our continued listing, since our insiders hold a large portion of our listed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has proposed a new $5 million minimum market value continued listing requirement that, if approved, could result in immediate suspension and delisting of our Class A Ordinary Shares without any cure period or opportunity to regain compliance.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A Ordinary Shares may not develop or sustain, and the trading price for our Class A Ordinary Shares may fluctuate significantly;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our Class A Ordinary Shares may be materially and adversely affected;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substantial increased costs being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Class A Ordinary Shares or the anticipation of future sales of our Class A Ordinary Shares in the public market could cause the price of our Class A Ordinary Shares to decline;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intend to pay dividends on our Class A Ordinary Shares in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publish a negative report regarding our Class A Ordinary Shares, the price of our Class A Ordinary Shares and trading volume could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Ordinary Shares may be volatile or may decline regardless of our operating performance, and you may not be able to resell your shares at or above the initial public offering price;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broad discretion to determine how to use the funds raised in the offering and may use them in ways that may not enhance our results of operations or the price of our Class A Ordinary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foreign private issuer and intend to take advantage of exemptions from certain Nasdaq corporate governance standards applicable to U.S. issuers, you will have less protection than you would have if we were a domestic issuer;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satisfy the listing requirements and other rules of the Nasdaq, our securities may be delisted, which could negatively impact the price of our securities and your ability to sell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the operating entity’s business and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the operating entity’s assets and our operations are currently located in China. Accordingly, the operating entity’s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including the reduction of state ownership of productive assets and the establishment of improved corporate governance in business enterprises, the Chinese economy and industrial policies still have significant differences compared to those of developed countries,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the operating entity’s business and operating results, reduce demand for its products, and weaken its competitive position. The Chinese government has implemented various measures to encourage economic growth and guide the allocation of resources. Some of these measures may benefit the overall Chinese economy but may have a negative effect on the operating entity. For example, the operating entity’s financial condition and results of operations may be adversely affected by government control over capital investments or changes in tax regulations. In addition, in the past the Chinese government has implemented certain measures, including interest rate adjustments, to control the pace of economic growth. These measures may cause decreased economic activities in China, which may adversely affect the operating entity’s business and operating results.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Hainan Senhan and the operating entity are subject to various PRC laws and regulations generally applicable to companies in China. Although the PRC legal system is evolving rapidly, its current slate of laws may not be sufficient to cover all aspects of the economic activities in China, including such activities that relate to or have an impact on our business. Implementation and interpretations of laws, regulations, and rules are not always undertaken in a uniform matter and enforcement of these laws, regulations, and rules involve uncertainties.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Since the PRC legal system is based on written statutes and legal interpretations by the Standing Committee of the National People’s Congress, and the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we may not be aware of our violation of these policies and rules until sometime after the violation. Such uncertainties, including uncertainties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this annual report based on foreign laws. It may also be difficult for you or overseas regulators to conduct investigations or collect evidence within China.</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exempted company incorporated under the laws of the Cayman Islands, we conduct substantially all of our operations in China and substantially all of our assets are located in China. In addition, except for one director, Mrs. Wenhua Sun, who is a resident of the U.S., the rest of our directors and all of our senior executive officers reside within China for a significant portion of the time and are PRC nationals. As a result, it may be difficult for you to effect service of process upon those persons inside mainland China. It may be difficult for you to enforce judgements obtained in U.S. courts based on civil liability provisions of the U.S. federal securities laws against us and our officers and directors who do not currently reside in the U.S. or have substantial assets in the U.S. In addition, there is uncertainty as to whether the courts of the Cayman Islands or the PRC would recognize or enforce judgments of U.S. courts against us or such persons predicated upon the civil liability provisions of the securities laws of the U.S. or any state.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may also be difficult for you or overseas regulators to conduct investigations or collect evidence within China. For example, in China, there are significant legal and other obstacles to obtaining information needed for shareholder investigations or litigation outside China or otherwise with respect to foreign entities. Although the authorities in China may establish a regulatory cooperation mechanism with counterparts of another country or region to monitor and oversee cross border securities activities, such regulatory cooperation with the securities regulatory authorities in the United States may not be efficient in the absence of a practical cooperation mechanism. Furthermore, according to Article 177 of the PRC Securities Law, or “Article 177,” which became effective in March 2020, no overseas securities regulator is allowed to directly conduct investigations or evidence collection activities within the territory of the PRC. Article 177 further provides that Chinese entities and individuals are not allowed to provide documents or materials related to securities business activities to foreign agencies without prior consent from the securities regulatory authority of the State Council and the competent departments of the State Council. Pursuant to the Overseas Listing Trial Measures, if an overseas securities regulatory authority investigates and collects evidence on domestic enterprises’ overseas listing, as well as related activities, and requests assistance from the CSRC according to the cross-border supervision and management cooperation mechanism, the CSRC may provide necessary assistance in accordance with the law. When domestic enterprises and individuals provide relevant documents and materials as required by the investigation and evidence collection of the overseas securities regulatory authorities, they should do so with the consent of the CSRC and the relevant competent departments of the State Council. While detailed interpretation of or implementing rules under Article 177 and the Overseas Listing Trial Measures have yet to be promulgated, the inability for an overseas securities regulator to directly conduct investigation or evidence collection activities within China may further increase difficulties faced by you in protecting your interests.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the Chinese government’s significant oversight and discretion over the conduct of the business of the operating entity, the Chinese government may intervene or influence its operations at any time, which could result in a material change in the operations of the operating entity and/or the value of our Class A Ordinary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the operating entity and may intervene or influence its operations at any time as the government deems appropriate to further regulatory, political, and societal goals, which could result in a material change in the operations of the operating entity and/or the value of our Class A Ordinary Shares.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education and internet, we cannot rule out the possibility that it will in the future release regulations or policies regarding the veterinary vaccine industry that could adversely affect the business, financial condition, and results of operations of the operating entity. Furthermore, if China adopts more stringent standards with respect to certain areas such as corporate social responsibilities, the operating entity may incur increased compliance costs or become subject to additional restrictions in its operations. Certain areas of the law, including intellectual property rights and confidentiality protections, in China may also not be as effective as in the United States or other countries. In addition, we cannot predict the effects of future developments in the PRC legal system on their business operations of the operating entity, including the promulgation of new laws, or changes to existing laws or the interpretation or enforcement thereof. These uncertainties could limit the legal protections available to us and our investors, including you.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actions by the Chinese government, including any decision to intervene or influence the operations of the operating entity or to exert control over any offering of securities conducted overseas and/or foreign investment in China-based issuers, may cause us to make material changes to the operations of the operating entity, may limit or completely hinder our ability to offer or continue to offer securities to investors, and may cause the value of such securities to significantly decline or be worthless.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The ability of the operating entity to operate in China may be impaired by changes in its laws and regulations, including those relating to taxation, environmental regulations, land use rights, foreign investment limitations, and other matters. The central or local governments of China may impose new, stricter regulations or interpretations of existing regulations that would require additional expenditures and efforts for the operating entity to ensure its compliance with such regulations or interpretations. As such, the operating entity may be subject to various government and regulatory interference in the provinces in which it operates in China. It could be subject to regulation by various political and regulatory entities, including various local and municipal agencies and government sub-divisions. It may incur increased costs necessary to comply with existing and newly adopted laws and regulations or penalties for any failure to comply.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government actions in the future, including any decision to intervene or influence the operations of the operating entity at any time or to exert control over an offering of securities conducted overseas and/or foreign investment in China-based issuers, may cause us to make material changes to the operations of the operating entity, may limit or completely hinder our ability to offer or continue to offer securities to investors, and/or may cause the value of such securities to significantly decline or be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greater oversight by the CAC over data security could adversely impact our business and our securities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2021, 13 governmental departments of the PRC, including the CAC, jointly promulgated the Cybersecurity Review Measures, which became effective on February 15, 2022. The Cybersecurity Review Measures provide that, in addition to CIIO that intend to purchase Internet products and services, net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28, 2024, the State Council promulgated the Network Data Security Management Regulations, which became effective on January 1, 2025 and impose enhanced compliance obligations on data processors in China, including those that are listed overseas or handle large volumes of personal or important data. Companies handling important data or national core data must also comply with stricter data classification, protection, and cross-border transfer approval requirements. Non-compliance may result in fines, operational restrictions, revocation of licenses, or limitations on overseas listings.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neither we nor the operating entity have received any notice from any authorities identifying our PRC subsidiaries as CIIOs or requiring us or the operating entity to go through cybersecurity review or network data security review by the CAC. As confirmed by our PRC counsel, Guantao, neither the operations of the operating entity, nor our Class A Ordinary Shares are expected to be affected, and that we and the operating entity are not subject to cybersecurity review by the CAC under the Cybersecurity Review Measures, nor will any such entity be subject to the Network Data Security Management Regulations, if it is enacted as proposed, given that neither we nor the operating entity is a CIIO or online platform operator with personal information of more than one million users. There remains uncertainty, however, as to how the Cybersecurity Review Measures and the Network Data Security Management Regulations will be interpreted or implemented and whether the PRC regulatory agencies, including the CAC, may adopt new laws, regulations, rules, or detailed implementation and interpretation related to the Cybersecurity Review Measures and the Network Data Security Management Regulations. If any such new laws, regulations, rules, or implementation and interpretation come into effect, we expect to take all reasonable measures and actions to comply and to minimize the adverse effect of such laws on us. We cannot guarantee, however, that the operating entity will not be subject to cybersecurity review and network data security review in the future. During such reviews, the operating entity may be required to suspend its operations or experience other disruptions to its operations. Cybersecurity review and network data security review could also result in negative publicity with respect to our Company and diversion of our managerial and financial resources, which could materially and adversely affect our business, financial conditions,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recently issued by the General Office of the Central Committee of the Communist Party of China and the General Office of the State Council may subject us and the operating entity to additional compliance requirements in the future.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Recently, the General Office of the Central Committee of the Communist Party of China and the General Office of the State Council jointly issued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On February 17, 2023, the CSRC promulgated the Overseas Listing Trial Measures and relevant five guidelines, which became effective on March 31, 2023. According to the Overseas Listing Trial Measures, PRC domestic companies that seek to offer and list securities in overseas markets, either in direct or indirect means, are required to fulfill the filing procedure with the CSRC and report relevant information Among other provisions, if a domestic enterprise intends to indirectly offer and list securities in an overseas market, the record-filing obligation is with a major operating entity incorporated in the PRC and such filing obligation shall be completed within three working days after the overseas listing application is submitted. We are required to complete the filing procedures with the CSRC in connection with the offering and listing. Moreover, we could be subject to the filing requirement for future share offerings, major changes in our company, and other scenarios as required under the Overseas Listing Trial Measures. See “Item 4. Information on the Company – B. Business Overview — Regulations — Regulations Relating to Overseas Listings.” The aforementioned policies and any related implementation rules to be enacted may subject us to additional compliance requirements in the future. As the Opinions and the Overseas Listing Trial Measures were recently issued, their official guidance and interpretation and remain unclear in several respects at this time. Therefore, we cannot assure you that we and the operating entity will remain fully compliant with all new regulatory requirements of the Opinions or the Overseas Listing Trial Measures or any future implementation rules on a timely basis, or at all.</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joint statement by the SEC and the PCAOB, rule changes by Nasdaq, and the Holding Foreign Companies Accountable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a minimum offering size requirement for companies primarily operating in a “Restrictive Market,” (ii) adopt a new requirement relating to the qualification of management or the board of directors for Restrictive Market companies, and (iii) apply additional and more stringent criteria to an applicant or listed company based on the qualifications of the company’s auditor. On October 4, 2021, the SEC approved Nasdaq’s revised proposal for the rule changes.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 On December 18, 2020, the HFCA Act was signed into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 2021, the SEC adopted amendments to finalize rules implementing the submission and disclosure requirements in the Holding Foreign Companies Accountable Act, which became effective on January 10, 2022. The rules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 For example,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the Board is unable to inspect or investigate completely PCAOB-registered public accounting firms headquartered in mainland China and in Hong Kong, because of positions taken by PRC authorities in those jurisdictions. The Board made these determinations pursuant to PCAOB Rule 6100, which provides a framework for how the PCAOB fulfills its responsibilities under the HFCA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auditor, WWC, P.C.,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WWC, P.C., has been inspected by the PCAOB on a regular basis, with the last inspection completed in 2025, and it is not subject to the determinations announced by the PCAOB on December 16, 2021. 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and the PCAOB. The PCAOB is expected to continue to demand complete access to inspections and investigations against accounting firms headquartered in mainland China and Hong Kong in the future. However, the recent developments would add uncertainties to our Class A Ordinary Shares and we cannot assure you whether the national securities exchange we apply to for Class A Ordinary Shares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 In addition, the HFCA Act, which requires that the PCAOB be permitted to inspect an issuer’s public accounting firm within three years, may result in the delisting of our Company or prohibition of trading in our Class A Ordinary Shares in the future if the PCAOB is unable to inspect our accounting firm at such future time.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the AHFCAA, and on December 29, 2022, legislation entitled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26, 2022, the CSRC, the MOF, and the PCAOB signed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cash or assets in the business are in the PRC/Hong Kong or a PRC/Hong Kong entity, the funds or assets may not be available to fund operations or for other use outside of the PRC/Hong Kong due to interventions in or the imposition of restrictions and limitations on the ability of our Company, our subsidiaries, or the operating entity by the PRC government to transfer cash or assets.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Relevant PRC laws and regulations permit the companies in the PRC to pay dividends only out of their retained earnings, if any, as determined in accordance with PRC accounting standards and regulations. Additionally, each of the companies in the PRC are required to set aside at least 10% of its after-tax profits each year, if any, to fund a statutory reserve until such reserve reaches 50% of its registered capital. The companies in the PRC are also required to further set aside a portion of their after-tax profits to fund the employee welfare fund, although the amount to be set aside, if any, is determined at their discretion. These reserves are not distributable as cash dividends. Furthermore, in order for us to pay dividends to our shareholders, we will rely on receipt of funds from our Hong Kong subsidiary. Peg Biotechnology will rely on payments made from the operating entity to Hainan Senhan. If Jilin Zhengye incurs debt on its own behalf in the future, the instruments governing the debt may restrict their ability to pay dividends or make other distributions to 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dividends, if any, will be paid in U.S. dollars. If we are considered a tax resident enterprise of the PRC for tax purposes, any dividends we pay to our overseas shareholders may be regarded as China-sourced income and as a result may be subject to PRC withholding tax. See “— Risks Relating to Doing Business in the PRC — Under the PRC Enterprise Income Tax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PRC government also imposes controls on the convertibility of RMB into foreign currencies and, in certain cases, the remittance of currency out of the PRC. The majority of our PRC subsidiaries’ income is received in RMB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Foreign Exchange (“SAFE”) as long as certain procedural requirements are met. Approval from appropriate government authorities is required if RMB is converted into foreign currency and remitted out of the PRC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there are no restrictions or limitations imposed by the Hong Kong government on the transfer of capital within, into, and out of Hong Kong (including funds from Hong Kong to mainland China), except for the transfer of funds involving money laundering and criminal activities. However, there is no guarantee that the Hong Kong government will not promulgate new laws or regulations that may impose such restrictions in the future. There is no assurance the PRC government will not intervene in or impose restrictions on our ability to transfer cash or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above, to the extent cash or assets in the business are in the PRC/Hong Kong or a PRC/Hong Kong entity, such funds or assets may not be available to fund operations or for other use outside of the PRC/Hong Kong, due to interventions in or the imposition of restrictions and limitations on the ability of our Company, our subsidiaries, or the operating entity by the competent government to the transfer of cash or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the operating entity’s business and profitability.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China’s economy has experienced increases in labor costs in recent years. China’s overall economy and the average wage in China are expected to continue to grow. The average wage level for the operating entity’s employees has also increased in recent years. We expect that their labor costs, including wages and employee benefits, will continue to increase. Unless the operating entity is able to pass on these increased labor costs to their customers by increasing prices for their products or services, their profitability and results of operations may be materially and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operating entity has been subject to stricter regulatory requirements in terms of entering into labor contracts with their employees and paying various statutory employee benefits, including pensions, housing fund, medical insurance, work-related injury insurance, unemployment insurance, and maternity insurance to designated government agencies for the benefit of their employees. Pursuant to the </w:t>
      </w:r>
      <w:r>
        <w:rPr>
          <w:rFonts w:ascii="Times New Roman" w:cs="Times New Roman" w:eastAsia="Times New Roman" w:hAnsi="Times New Roman"/>
          <w:sz w:val="18"/>
          <w:szCs w:val="18"/>
          <w:i w:val="1"/>
          <w:iCs w:val="1"/>
          <w:color w:val="auto"/>
        </w:rPr>
        <w:t>PRC Labor Contract Law,</w:t>
      </w:r>
      <w:r>
        <w:rPr>
          <w:rFonts w:ascii="Times New Roman" w:cs="Times New Roman" w:eastAsia="Times New Roman" w:hAnsi="Times New Roman"/>
          <w:sz w:val="18"/>
          <w:szCs w:val="18"/>
          <w:color w:val="auto"/>
        </w:rPr>
        <w:t xml:space="preserve"> or the “Labor Contract Law,” that became effective in January 2008 and its amendments that became effective in July 2013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the operating entity decides to terminate some of their employees or otherwise change their employment or labor practices, the Labor Contract Law and its implementation rules may limit their ability to effect those changes in a desirable or cost-effective manner, which could adversely affect their business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the operating entity’s employment practices do not and will not violate labor-related laws and regulations in China, which may subject the operating entity to labor disputes or government investigations. If the operating entity is deemed to have violated relevant labor laws and regulations, they could be required to provide additional compensation to their employees and their business, and, in such case, our financial condition, and results of operations could be materially and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subject our PRC resident beneficial owners or the PRC subsidiaries to liability or penalties, limit our ability to inject capital into the PRC subsidiaries, limit the PRC subsidiaries’ ability to increase their registered capital or distribute profits to us, or may otherwise adversely affect 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4, 2014,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our shareholders who are PRC residents and may be applicable to any offshore acquisitions that we make in the future. In February 2015, SAFE promulgated a Circular on Further Simplifying and Improving Foreign Exchange Administration Policy on Direct Investment, or “SAFE Circular 13,” effective in June 2015. Under SAFE Circular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SAFE Circular 37 and SAFE Circular 13, our ability to conduct foreign exchange activities in China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the failure of which may subject such PRC individual to warnings, fines, or other liabilities.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used its best efforts to request PRC residents who the Company knows hold direct or indirect interest in the Company to make the necessary applications, filings, and registrations as required under SAFE Circular 37. As of the date of this annual report, one of our current shareholders who is subject to SAFE Circular 37 or SAFE Circular 13 has completed the initial registrations with the local SAFE branch or qualified banks as required by SAFE Circular 37, while the other has not yet completed the registration.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according to the Administrative Measures on Overseas Investments adopted by the Ministry of Commerce (the “MOFCOM”) and the Measures for the Administration of Overseas Investment of Enterprises (the “Enterprise Overseas Investment Measures”) adopted by the National Development and Reform Commission (the “NDRC”), a PRC enterprise that intends to make overseas investments is required to obtain approvals from provincial commerce authorities and NDRC’s local branches or to make filings with such authorities, depending on the type and the region of their investments. As confirmed by our PRC counsel, our PRC enterprise shareholders are required to file with such provincial commerce authorities and NDRC’s local branches. In addition, according to the SAFE Circular 13 adopted by SAFE, our PRC enterprise shareholders are obliged to register with qualified banks when they make overseas investments or financings. Generally, for an overseas direct investment, the fillings with the qualified bank at the request of SAFE, the fillings with the provincial commerce authorities, and the filling with the NDRC or its local branches are collectively referred to as the “ODI fillings.” Pursuant to the aforementioned laws and regulations, if a PRC enterprise makes such overseas direct investments without obtaining all of the ODI filings, the relevant approval or filing authority has the authority to take corrective measures, such as ordering such enterprise to suspend or cease the implementation of the projects, issuing warnings, or imposing other penalties.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Company believes that its current shareholders who are subject to the Administrative Measures on Overseas Investments, Enterprise Overseas Investment Measures, and other related laws and regulations have completed the ODI filings as required by the aforementioned regulations.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relevant laws and regulations regarding the ODI fillings, following the submission or approval of filings with the MOFCOM or provincial commerce authorities, the filing entity is required to file for modifications with the MOFCOM or the provincial commerce authorities that processed its original filing or approval, should there be any changes to the overseas direct investments provided in initial filing materials or the original certificates of overseas investments of enterprises. Likewise, for an overseas direct investment project that has been approved and filed with the NDRC, the investor shall file an application for modifications to the relevant authority in advance of certain circumstances, such as changes to the number of investors, project activities, or project scale.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it is our understanding that all of our current PRC enterprise shareholders who are subject to the Administrative Measures on Overseas Investments, Enterprise Overseas Investment Measures, and other related laws and regulations have completed the required the ODI filings, we have no control over whether any of our future beneficial owners would complete such ODI filings. Furthermore, we cannot guarantee that all of our enterprise shareholders will renew their ODI fillings on a timely basis when required by law, and we cannot assure you that our shareholders’ applications for renewal will be approved. Thus, we cannot provide any assurance that our current or future PRC resident beneficial owners, including PRC residents and enterprises, will comply with our request to make or obtain any applicable registrations or filings, or continue to comply with all registration and filing procedures set forth in the ODI filings. Such failure or inability of our PRC resident beneficial owners to comply with the ODI filings may subject us or our PRC resident beneficial owners to fines and legal sanctions, restrict our cross-border investment activities, limit our PRC subsidiaries’ ability to distribute dividends to or obtain foreign-exchange- dominated loans from us, or prevent us from making distributions or pay dividends, which will materially and adversely affect our business operations and our ability to distribute profits to you.</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parent/subsidiary loans and direct investment by offshore holding companies to PRC entities may delay or prevent us from using the proceeds of offshore offerings to make loans or additional capital contributions to the PRC subsidiaries, which could materially and adversely affect their liquidity and their ability to fund and expand their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PRC subsidiaries, to which we can make loans and make additional capital contributions. Most of these loans or contributions are subject to PRC regulations and approvals or registration. For example, any loans to the PRC subsidiaries, which are treated as foreign-invested enterprises under PRC law, are subject to PRC regulations and foreign exchange loan registrations. Furthermore, loans made by us to the PRC subsidiaries to finance their activities cannot exceed statutory limits and must be registered with the local counterpart of SAFE, or filed with SAFE in its information system. Pursuant to relevant PRC regulations, we may provide loans to the operating entity up to the larger amount of (i) the balance between the registered total investment amount and registered capital of these entities, or (ii) twice the amount of the net assets of these entities calculated in accordance with the Circular on Full-Coverage Macro-Prudent Management of Cross-Border Financing, or the “PBOC Circular 9.” Moreover, any medium or long-term loan to be provided by us to the PRC subsidiaries, or other domestic PRC entities must also be filed and registered with the National Development and Reform Commission (the “NDRC”). We may also decide to finance the PRC subsidiaries by means of capital contributions. These capital contributions are subject to registration with the State Administration for Market Regulation (the “SAMR”) or its local branch, reporting of foreign investment information with the Ministry of Commerce of the PRC (the “MOFCOM”), or registration with other governmental authorities in China.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On March 30, 2015, SAFE issued the Notice of the State Administration of Foreign Exchange on Reforming the Administrative Approach Regarding the Settlement of the Foreign Exchange Capital of Foreign-invested Enterprises, or “SAFE Circular 19,” which took effect and replaced previous regulations effective on June 1, 2015, and was amended on December 30, 2019. Pursuant to SAFE Circular 19, up to 100% of foreign currency capital of a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 to apply as to foreign-invested enterprises’ use of the converted RMB for purposes beyond their business scope, for entrusted loans or for inter-company RMB loans. On June 9, 2016, SAFE promulgated the Notice of the State Administration of Foreign Exchange on Reforming and Standardizing the Foreign Exchange Settlement Management Policy of Capital Account, or “SAFE Circular 16,” effective on June 9, 2016, which reiterates some rules set forth in SAFE Circular 19, but changes the prohibition against using RMB capital converted from foreign currency-denominated registered capital of a foreign-invested company to issue RMB entrusted loans to a prohibition against using such capital to issue loans to non-affiliated enterprises. SAFE Circular 19 and SAFE Circular 16 may significantly limit our ability to transfer any foreign currency we hold, including the net proceeds from our offshore offerings, to the PRC subsidiaries, which may adversely affect our liquidity and our ability to fund and expand our business in China. On October 23, 2019, SAFE issued the Notice of the State Administration of Foreign Exchange on Further Facilitating Cross-border Trade and Investment, or “SAFE Circular 28,” which, among other things, expanded the use of foreign exchange capital to domestic equity investment area. Non-investment foreign-funded enterprises are allowed to lawfully make domestic equity investments by using their capital on the premise without violation to prevailing Special Administrative Measures for Access of Foreign Investments, or the Negative List,” and the authenticity and compliance with the regulations of domestic investment projects. On December 4, 2023, SAFE promulgated the Notice on Further Deepening the Reform to Facilitate Cross-border Trade and Investment, which relaxed restrictions on the scale of preliminary expenses for overseas direct investment, and facilitated the payment and use of funds obtained from equity transfers under domestic reinvestment and funds raised from overseas listing of foreign direct investment.</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including SAFE Circular 19, SAFE Circular 16, and other relevant rules and regulations, we cannot assure you that we will be able to complete the necessary registrations or obtain the necessary government approvals on a timely basis, if at all, with respect to future loans or capital contributions to the PRC subsidiaries. As a result, uncertainties exist as to our ability to provide prompt financial support to the PRC subsidiaries when needed.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the PRC subsidiaries’ business, including their liquidity and their ability to fund and expand their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the RMB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Since June 2010, the RMB has fluctuated against the U.S. dollar, at times significantly and unpredictably. It is difficult to predict how market forces or PRC or U.S. government policy may impact the exchange rate between the RMB and the U.S. dollar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conducted in the PRC through the operating entity, and its books and records are maintained in RMB. The financial statements that we file with the SEC and provide to our shareholders are presented in U.S. dollars. Changes in the exchange rates between the RMB and U.S. dollar affect the value of the PRC subsidiaries’ assets and results of operations, when presented in U.S. dollars. The value of the RMB against the U.S. dollar and other currencies may fluctuate and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 Further, our Class A Ordinary Shares offered in the U.S. are offered in U.S. dollars, we need to convert the net proceeds we receive into RMB in order to use the funds for the PRC subsidiaries’ business. Changes in the conversion rate among the U.S. dollar and the RMB will affect the amount of proceeds we will have available for the PRC subsidiaries’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PRC Enterprise Income Tax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(the “EIT Law”), which became effective in January 2008,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April 2009, the State Administration of Taxation (the “SAT”) issued the Circular on Issues Concerning the Identification of Chinese-Controlled Overseas Registered Enterprises as Resident Enterprises in Accordance with the Actual Standards of Organizational Management, or “SAT Circular 82,” which was amended in December 2017. SAT Circular 82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decision-making bodies; key properties, accounting books, company seal, and minutes of board meetings and shareholders’ meetings; and half or more of the senior management or directors having voting rights. In addition to SAT Circular 82, the SAT issued the Measures for the Administration of Enterprise Income Tax of Chinese-Controlled Overseas Registered Enterprises as Resident Enterprises (for Trial Implementation), or “SAT Bulletin 45,” which took effect in September 2011 and was amended in April 2015,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the actual management organ of Zhengye Cayman is within the territory of China, Zhengye Cayman may be deemed to be a PRC resident enterprise for PRC enterprise income tax purposes and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Finally, dividends payable by us to our investors and gains on the sale of our shares may become subject to PRC withholding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shares. Although up to the date of this annual report, Zhengye Cayman has not been notified or informed by the PRC tax authorities that it has been deemed to be a resident enterprise for the purpose of the EIT Law, we cannot assure you that it will not be deemed to be a resident enterprise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2015, SAT issued a Public Notice Regarding Certain Corporate Income Tax Matters on Indirect Transfer of Properties by Non-Tax Resident Enterprises, or “SAT Circular 7.” SAT Circular 7 provides comprehensive guidelines relating to indirect transfers of PRC taxable assets (including equity interests and real properties of a PRC resident enterprise) by a non-resident enterprise. In addition, in October 2017, SAT issued an Announcement on Issues Relating to Withholding at Source of Income Tax of Non-resident Enterprises, or “SAT Circular 37,” effective in December 2017, which, among others, amended certain provisions in SAT Circular 7 and further clarify the tax payable declaration obligation by non-resident enterprise. Indirect transfer of equity interest and/or real properties in a PRC resident enterprise by their non-PRC holding companies are subject to SAT Circular 7 and SAT Circular 37.</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SAT Circular 7 provides clear criteria for an assessment of reasonable commercial purposes and has introduced safe harbors for internal group restructurings and the purchase and sale of equity through a public securities market. As stipulated in SAT Circular 7, indirect transfers of PRC taxable assets are considered as reasonable commercial purposes if the shareholding structure of both transaction parties falls within the following situations: (i) the transferor directly or indirectly owns 80% or above equity interest of the transferee, or vice versa; (ii) the transferor and the transferee are both 80% or above directly or indirectly owned by the same party; and (iii) the percentages in bullet points (i) and (ii) shall be 100% if over 50% the share value of a foreign enterprise is directly or indirectly derived from PRC real properties. Furthermore, SAT Circular 7 also brings challenges to both foreign transferor and transferee (or other person who is obligated to pay for the transfer) of taxable assets. Where a non-resident enterprise transfers PRC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and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SAT Circular 37, where the non-resident enterprise fails to declare the tax payable pursuant to Article 39 of the EIT Law, the tax authority may order it to pay the tax due within required time limits, and the non-resident enterprise shall declare and pay the tax payable within such time limits specified by the tax authority. If the non-resident enterprise, however, voluntarily declares and pays the tax payable before the tax authority orders it to do so within required time limits, it shall be deemed that such enterprise has paid the tax in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assessment of reasonable commercial purposes and future transactions where PRC taxable assets are involved, such as offshore restructuring, sale of the shares in our offshore subsidiaries, and investments. In the event of being assessed as having no reasonable commercial purposes in an indirect transfer transaction, we may be subject to filing obligations or taxed if we are a transferor in such transactions, and may be subject to withholding obligations (to be specific, a 10% withholding tax for the transfer of equity interests) if we are a transferee in such transactions, under SAT Circular 7 and SAT Circular 37. For transfer of shares by investors who are non-PRC resident enterprises, the PRC subsidiaries may be requested to assist in the filing under the SAT circulars. As a result, we may be required to expend valuable resources to comply with the SAT circulars or to request the relevant transferors from whom we purchase taxable assets to comply with these circulars, or to establish that we should not be taxed under these circulars, which may have a material adverse effect on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subsidiaries are subject to restrictions on paying dividends or making other payments to us, which may have a material adverse effect on our ability to conduct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We may need dividends and other distributions on equity from the PRC subsidiaries to satisfy our liquidity requirements, including the funds necessary to pay dividends and other cash distributions to our shareholders and service any debt we may incur. If the PRC subsidiaries incur debt on their own behalf in the future, the instruments governing the debt may restrict their ability to pay dividends or make other distributions to 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PRC regulations permit the PRC subsidiaries to pay dividends to us only out of their accumulated profits, if any, determined in accordance with PRC accounting standards and regulations. In addition, the PRC subsidiaries are required to set aside at least 10% of their respective accumulated profits each year, if any, to fund certain reserve funds until the total amount set aside reaches 50% of their respective registered capital. The PRC subsidiaries may also allocate a portion of their respective after-tax profits based on PRC accounting standards to employee welfare and bonus funds at their discretion. These reserves are not distributable as cash dividends. These limitation on the ability of the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 and our payment of dividends.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RMB into foreign currencies and, in certain cases, the remittance of currency out of China. We receive substantially most of our revenue in RMB. Under our current corporate structure, Zhengye Cayman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the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 we may not be able to pay dividends in foreign currencies to our shareholders.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significant uncertainties under the EIT Law relating to the withholding tax liabilities of the PRC subsidiaries, and dividends payable by our PRC subsidiaries to our offshore subsidiaries may not qualify to enjoy certain treaty benefits.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EIT Law and its implementation rules, the profits of a foreign-invested enterprise generated through operations, which are distributed to its immediate holding company outside the PRC, will be subject to a withholding tax rate of 10%. Pursuant to the Double Tax Avoidance Arrangement, a withholding tax rate of 10% may be lowered to 5% if the enterprise in mainland China is at least 25% held by a Hong Kong enterprise for at least 12 consecutive months prior to distribution of the dividends and is determined by the relevant PRC tax authority to have satisfied other conditions and requirements under the Double Tax Avoidance Arrangement and other applicable PRC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However, based on the Circular on Certain Issues with Respect to the Enforcement of Dividend Provisions in Tax Treaties, or the “SAT Circular 81,” which became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According to Circular on Several Issues regarding the “Beneficial Owner” in Tax Treaties, which became effective as of April 1, 2018, when determining an applicant’s status as the “beneficial owner” regarding tax treatments in connection with dividends, interests, or royalties in the tax treaties, several factors will be taken into account. Such factors include whether the business operated by the applicant constitutes actual business activities, and whether the counterparty country or region to the tax treaties does not levy any tax, grant tax exemption on relevant incomes, or levy tax at an extremely low rate. This circular further requires any applicant who intends to be proved of being the “beneficial owner” to file relevant documents with the relevant tax authorities. Hainan Senhan is wholly owned by Peg Biotechnology. However, we cannot assure you that our determination regarding our qualification to enjoy the preferential tax treatment will not be challenged by the relevant PRC tax authority or we will be able to complete the necessary filings with the relevant PRC tax authority and enjoy the preferential withholding tax rate of 5% under the Double Tax Avoidance Arrangement with respect to dividends to be paid by Hainan Senhan to our Hong Kong subsidiary, Peg Biotechnology, in which case, we would be subject to the higher withdrawing tax rate of 10% on dividends received.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scrutiny, criticism, and negative publicity involving U.S.-listed Chinese companies, we may have to expend significant resources to investigate and resolve the matter which could harm our business operations, stock price, and reputation.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public companies that have substantially most of their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sharply decreased in value and, in some cases, have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the price of our Class A Ordinary Shares. If we become the subject of any unfavorable allegations, whether such allegations are proven to be true or untrue, we will have to expend significant resources to investigate such allegations and/or defend our Company. This situation will be costly and time-consuming and could distract our management from developing our business. If such allegations are not proven to be groundless, we and our business operations will be severely affected and you could sustain a significant decline in the value of our Class A Ordinary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certain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M&amp;A Rules and recently adopted PRC regulations and rules concerning mergers and acquisitions established additional procedures and requirements that could make the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Mergers or acquisitions that allow one market player to take control of or to exert decisive impact on another market player must also be notified in advance to SAMR when the threshold under the Provisions on Thresholds for Prior Notification of Concentrations of Undertakings, or the “Prior Notification Rules,” issued by the State Council in August 2024 is triggered. In addition, the Provisions of the Ministry of Commerce on the Implementation of the Security Review System for Mergers and Acquisitions of Domestic Enterprises by Foreign Investors (the “Security Review Rules”) issued by MOFCOM that became effective in September 2011specify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Security Review Rules prohibit any activities attempting to bypass a security review, including by structuring the transaction through a proxy or contractual control arrangement. Moreover, the Measures for the Security Review of Foreign Investments (the “FISR Measures”) were issued by MOFCOM and NDRC on December 19, 2020, which were made according to the National Security Law and the Foreign Investment Law and became effective on January 18, 2021. Under the FISR Measures, foreign investments in military-related industries and certain other industries that affect or may affect national security are subject to the security review conducted by the NDRC and MOFCOM. The FISR Measures further expand the scope of national security review on foreign investment compared to the existing rules, while leaving substantial room for interpretation and speculation.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MOFCOM or its local counterparts may delay or inhibit our ability to complete such transactions. It is clear that the operating entity’s business would not be deemed to be in an industry that raises “national defense and security” or “national security” concerns. MOFCOM or other government agencies, however, may publish explanations in the future determining that the PRC subsidiaries’ business is in an industry subject to the security review, in which case our future acquisitions in the PRC, including those by way of entering into contractual control arrangements with target entities, may be closely scrutinized or prohibited. The PRC subsidiaries’ ability to expand their business or maintain or expand their market share through future acquisitions would as such be materially and adversely affected.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regulatory authorities could disallow our holding company structure, which may result in a material change in the operating entity’s operations and/or a material change in the value of the securities we are registering for sale, including that it could cause the value of such securities to significantly decline or become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indirectly hold the equity of the operating entity through Hainan Senhan, and thus the operating entity is directly or indirectly foreign-invested enterprises. Although the PRC government has increasingly open attitude towards absorbing foreign investment in general, it still implements the Negative List (2024), which restricts or prohibits overseas enterprises from holding the equity of Chinese companies whose operations are included in the Negative List (2024). As the boundaries stipulated in the Negative List (2024) are relatively vague, they are subject to further determination and clarification by the Chinese government. As of the date of this annual report, the business operated by the operating entity has not been included in the Negative List (2024), but we cannot fully guarantee that the Chinese government will not make a different interpretation, so as to disallow our holding corporate structure. Moreover, the Chinese government revises the list from time to time; although the scope of the Negative List (2024) is narrowing as a whole, it remains uncertain whether our existing business or future business will be included in future revisions. If the business of the operating entity is deemed as a restricted or prohibited business based on the Negative List (2024), our existing corporate structure may be considered illegal and required to be restructured by the Chinese government, which may adversely affect the operating entity’s operations and the value of the securities we are registering for sale.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PRC residents intend to directly or indirectly invest in us, they are required to perform foreign exchange registration and ODI fillings in accordance with the requirements of the Chinese government, see “— PRC regulations relating to offshore investment activities by PRC residents may subject our PRC resident beneficial owners or the PRC subsidiaries to liability or penalties, limit our ability to inject capital into the PRC subsidiaries, limit the PRC subsidiaries’ ability to increase their registered capital or distribute profits to us, or may otherwise adversely affect us.” If any of our PRC resident shareholders did not take relevant actions in accordance with the requirements of the Chinese government, our company structure may be disallowed by the Chinese governments. As of this annual report, it is our understanding that all of our current PRC resident shareholders have completed the required foreign exchange registration and ODI filings, except that one of our current shareholders who is subject to SAFE Circular 37 has not yet completed the registration.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our shareholders who is a PRC resident or enterprise fails to fulfill the required foreign exchange registration or ODI filings, it will be deemed illegal for such shareholder to directly or indirectly hold our equity under the PRC laws. Furthermore, if PRC authorities disallow such shareholder to own our equity, the operating entity may be prohibited from distributing dividends to us or from carrying out other subsequent cross-border foreign exchange activities, and we may be restricted in our ability to contribute additional capital to the operating entity, which may adversely affect the operating entity’s operations and our values of the securities we are registering for sale.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if future laws, administrative regulations, or provisions mandate further actions to be taken by us or the operating entity with respect to our existing corporate structure,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resulting in a material change in the operating entity’s operations and/or a material change in the value of our Class A Ordinary Shares, including that it could cause the value of our Class A Ordinary Shares to significantly decline or become worthless.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 in international trade, particularly between the United States and China, may adversely impact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implement plans to expand our business internationally in the future, any unfavorable government policies on international trade, such as capital controls or tariffs, may affect the demand for our products and services,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direct impact of the current international trade tension, and any escalation of such tension, on the veterinary vaccine industry in China is uncertain, the negative impacts on general, economic, political and social conditions may adversely impact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 operates in a highly-competitive market and its failure to compete effectively could adversely affect its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veterinary vaccine industry in China is highly-competitive and rapidly evolving, with many new companies joining the competition in recent years and few leading companies. The operating entity competes or plans to compete with manufacturers of veterinary vaccines. See “Business — Competition.” Some of its competitors and potential competitors have greater product development capabilities and financial, scientific, marketing, and human resources than we do. Technological competition from biopharmaceutical companies and biotechnology companies is intense and is expected to increase. Other companies have developed technologies that could be the basis for competitive products. Some of these products have an entirely different approach or means of accomplishing the desired curative effect than products we are developing. Alternative products may be developed that are more effective, work faster, and are less costly than our products. Competitors may succeed in developing products earlier than us, obtaining approvals and clearances for such products more rapidly than the operating entity, or developing products that are more effective than its. In addition, other forms of treatment may be competitive with its products. Over time, its technology or products may become obsolete or uncompetitive.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Perceived adverse effects on human health linked to the consumption of food derived from animals that utilize the operating entity’s products could cause a decline in the sales of such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entity’s livestock business depends heavily on a healthy and growing livestock industry. If the public perceives a risk to human health from the consumption of the food-producing animals that utilize the operating entity’s products, there may be a decline in the production of such food products and, in return, demand for the operating entity’s products. For example, livestock producers may experience decreased demand for their products or reputational harm as a result of evolving consumer views of animal rights, nutrition and health-related or other concerns. Any reputational harm to the livestock industry may also extend to companies in related industries, including the operating entity and thus, our company. Adverse consumer views related to the use of one or more of the operating entity’s products in livestock also may result in a decrease in the use of such products and could have a material adverse effect on both the operating entity’s and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regulation relating to the raising, processing or consumption of food-producing animals could reduce demand for the operating entity’s livestock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in the livestock industries are subject to extensive and increasingly stringent regulations. If livestock producers are adversely affected by new regulations or changes to existing regulations, they may reduce herd sizes or become less profitable and, as a result, they may reduce their use of the operating entity’s products, which may materially adversely affect both the operating entity’s and our operating results and financial condition. Furthermore, adverse regulations related, directly or indirectly, to the use of one or more of the operating entity’s products may injure livestock producers’ market position. More stringent regulation of the livestock industry or the operating entity’s products could have a material adverse effect on both the operating entity’s and our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entity’s business is subject to risk based on customer exposure to rising costs and reduced customer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Feed, fuel and transportation and other key costs for livestock producers may increase or animal protein prices or sales may decrease. Either of these trends could cause deterioration in the financial condition of the operating entity’s livestock product customers, potentially inhibiting their ability to purchase the operating entity’s products or pay for products delivered. The operating entity’s livestock product customers may offset rising costs by reducing spending on the operating entity’s products, including by switching to lower-cost alternatives to the operating entity’s products, which could have a material adverse effect on both the operating entity’s and our operating results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 may not successfully acquire and integrate other businesses, license rights to technologies or products, form and manage alliances or divest businesses.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entity may pursue acquisitions, technology licensing arrangements, strategic alliances or divestitures of some of its businesses as part of the business strategy. The operating entity may not complete these transactions in a timely manner, on a cost-effective basis or at all. In addition, it may be subject to regulatory constraints or limitations or other unforeseen factors that prevent it from realizing the expected benefits. Even if it is successful in making an acquisition, the products and technologies that are acquired may not be successful or may require significantly greater resources and investments than originally anticipated. It may be unable to integrate acquisitions successfully into its existing business, and it may be unable to achieve expected gross margin improvements or efficiencies. It also could incur or assume significant debt and unknown or contingent liabilities. Its reported results of operations could be negatively affected by acquisition or disposition-related charges, amortization of expenses related to intangibles and charges for impairment of long-term assets. It may be subject to litigation in connection with, or as a result of, acquisitions, dispositions, licenses or other alliances, including claims from terminated employees, customers or third parties, and it may be liable for future or existing litigation and claims related to the acquired business, disposition, license or other alliance because either it is not indemnified for such claims or the indemnification is insufficient. These effects could cause it to incur significant expenses and could materially adversely affect both its and our operating results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entity’s research and development, acquisition and licensing efforts may fail to generate new products and brand life-cycle developments.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on both the existing product portfolio and the pipeline of new products, including new products that the operating entity may develop and products that it is able to obtain through license or acquisition. The operating entity commits substantial effort, funds and other resources to research and development, both through its own dedicated resources and through collaborations with third parties.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entity may be unable to determine with accuracy when or whether any of its products now under development will be approved or launched, or it may be unable to develop, license or otherwise acquire product candidates or products. In addition, it cannot predict whether any products, once launched, will be commercially successful or will achieve sales and revenue that are consistent with its expectations. Furthermore, the timing and cost of its research and development may increase, making the research and development less predictable. For example, changes in regulations applicable to animal health industry may make it more time-consuming and/or costly to research, test and develop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entity expects to enter into collaboration or licensing arrangements with third parties to provide it with access to certain technology for purposes of its business. Such agreements are typically complex and require time to negotiate and implement. If it enters into these arrangements, it may not be able to maintain these relationships or establish new ones in the future on acceptable terms or at all. In addition, any collaboration that it enters into may not be successful, and the success may depend on the efforts and actions of its collaborators, which it may not be able to control. If it is unable to access to certain technology to conduct research and development on cost-effective terms, its ability to develop new products could be limited. As a result, both the operating entity’s and our operating results and financial condition could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veterinary medical practices and animal health technologies could negatively affect the market for the operating entity’s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the operating entity’s products could be impacted negatively by the introduction and/or broad market acceptance of newly-developed or alternative products that address the diseases and conditions for which it sells products, including “green” or “holistic” health products or specially bred disease-resistant animals. In addition, technological breakthroughs by others may obviate the operating entity’s technology and reduce or eliminate the market for the operating entity’s products. Introduction or acceptance of such products or technologies could materially adversely affect both the operating entity’s and our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entity’s research and development relies on evaluations in animals.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veterinary vaccines business, the evaluation of the operating entity existing and new products in animals is required to register its products. Animal testing in certain industries has been the subject of controversy and adverse publicity. Some organizations and individuals have attempted to ban animal testing or encourage the adoption of additional regulations applicable to animal testing. To the extent that the activities of such organizations and individuals are successful, the operating entity’s research and development, and by extension its and our operating results and financial condition, could be materially adversely affected. In addition, negative publicity about the operating entity or the veterinary vaccines industry could harm the operating entity’s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problems may cause product launch delays, inventory shortages, recalls or unanticipated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Minor deviations in the manufacturing processes, such as temperature excursions or improper package sealing, could result in delays, inventory shortages, unanticipated costs, product recalls, product liability and/or regulatory action. In addition, a number of factors could cause production interruptions,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operating entity or any of its vendors or suppliers to comply with applicable regulations and quality assurance guidelines;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production sites and limits to manufacturing capacity due to regulatory requirements, changes in types of products produced, shipping distributions or physical limitations;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any highly contagious diseases near the production sites.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interruptions could result in launch delays, inventory shortages, recalls, unanticipated costs or issues with the operating entity’s agreements under which it supplies third parties, which may adversely affect both the operating entity’s and our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 may fail to detect or cure defects of its products.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Despite the quality control management system, the operating entity cannot eliminate the risks of errors, defects, or failures. The operating entity may fail to detect or cure defects as a result of a number of factors, many of which are outside its control, including: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mechanical malfunctions in the production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 or malfeasance by quality control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tampering by third parties;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 equipment.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detect quality defects in the products could result in animal illness, customer dissatisfaction, or other problems that could harm the operating entity’s reputation and business, expose it to liability, and adversely affect its revenue and profitability. Relevant PRC laws and regulations were formulated to strengthen the administration of rules pertaining to product quality, as well as to clarify the rules on product liability, protect consumers and maintain social and economic order. Products offered for sale in China must meet the relevant quality and safety standards. Violations of state or industrial standards for health, safety and any other related violations may result in civil liabilities and penalties, such as compensation for damages, fines, suspension, or shutdown of business, as well as confiscation of products illegally produced for sale and the sales proceeds of such products. As a result, it could materially adversely affect both the operating entity’s and our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misuse or off-label use of the operating entity’s products may harm the operating entity’s reputation or result in financial or other damages.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operating entity’s products have been approved for use under specific circumstances for the treatment of certain diseases and conditions in specific species. There may be increased risk of product liability if veterinarians, livestock producers, pet owners or others attempt to use the products off-label, including the use of the products in species for which they have not been approved. Furthermore, the use of the operating entity’s products for indications other than those indications for which its products have been approved may not be effective, which could harm the operating entity’s reputation and lead to an increased risk of litigation. If the operating entity is deemed by a governmental or regulatory agency to have engaged in the promotion of any of its products for off-label use, such agency could request that it modifies its training or promotional materials and practices and it could be subject to significant fines and penalties, and the imposition of these sanctions could also affect its reputation and position within the industry. Any of these events could materially adversely affect both the operating entity’s and our operating results and financial condition.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swine vaccines and any reduction in demand of swine vaccines could have an adverse effect on our business, financial condition, results of operations, cash flows,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a significant portion of our revenue from the sale of swine vaccines. For the fiscal years ended December 31, 2025, 2024, and 2023, our revenue from the sale of swine vaccines amounted to approximately RMB90.1 million (US$12.9 million), RMB157.8 million, and RMB188.9 million, or approximately 77.5%, 84.7%, and 89.3% of our revenue, respectively. For details on the swine vaccines sold by our Company, please see the section entitled “Business — Products.” Consequently, any reduction in demand of swine vaccines could have an adverse effect on our business, financial condition, results of operations, cash flows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Animal health products are subject to unanticipated safety or efficacy concerns, which may harm the operating entity’s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Unanticipated safety or efficacy concerns can arise with respect to animal health products, whether or not scientifically or clinically supported, leading to product recalls, withdrawals or suspended or declining sales, as well as product liability, and other claims. In addition, the operating entity depends on positive perceptions of the safety and quality of its products, and animal health products generally, by its customers, veterinarians and end-users, and such concerns may harm its reputation. These concerns and the related harm to its reputation could materially adversely affect the operating entity’s and our operating results and financial condition, regardless of whether such reports are accurate.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growth rates and performance may not be sustainable or indicative of our future growth and financial results. We cannot guarantee that we will be able to maintain the growth rate we have experienced to date.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decreased from RMB211.7 million in the fiscal year ended December 31, 2023 to RMB186.4 million for the fiscal year ended December 31, 2024, and further decreased to RMB116.4 million (US$16.6 million) for the fiscal year ended December 31, 2025. Our historical performance may not be indicative of our future growth or financial results. We cannot assure you that we will be able to grow at the same rate as we did in the past, or avoid any decline in the future. Our growth may slow or become negative, and revenue may decline for a number of possible reasons, some of which are beyond our control, including decreasing consumer spending, increasing competition, declining growth of our overall market or industry, the emergence of alternative business models and changes in rules, regulations, government policies, or general economic conditions. It is difficult to evaluate our prospects, as we may not have sufficient experience in addressing the risks to which companies operating in rapidly evolving markets may be exposed. If our growth rate declines, our business, financial condition and results of operations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entity’s business is subject to inherent risks relating to product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present, the veterinary vaccines produced by the operating entity cover animals such as pigs, chickens, ducks, cattle, sheep, dogs. The quality of the veterinary vaccines is directly related to the prevention effect of animal epidemics. If the operating entity’s vaccine products do not meet the quality standard, it will not only fail to achieve the immune effect and cause disease transmission but also may produce serious immune side effects, leading to the death of animals and causing economic losses to farmers, which will adversely affect its brand, reputation, and market influence of the enterprise, and the operating entity will have to pay a certain fee.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operating entity may be held liable if any product we develop, or any product which is made using our technologies, causes injury or is found unsuitable during product testing, manufacturing, marketing, sale, or use. These risks are inherent in the development of veterinary vaccines and bio-pharmaceutical products. The operating entity currently does not have sufficient product liability insurance. If it cannot obtain sufficient insurance coverage at an acceptable cost or otherwise protect against potential product liability claims, the commercialization of products that it develops may be prevented or inhibited. If the operating entity is sued for any injury caused by its products, its liability could exceed its total assets, which could materially harm its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entity’s business will be materially and adversely affected if its collaborative partners, licensees and other third parties over whom the operating entity is very dependent fail to perform as expected.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complexity of the process of developing bio-pharmaceuticals, the operating entity’s core business depends on arrangements with bio-pharmaceutical institutes, corporate and academic collaborators, licensors, licensees and others for the research, development, clinical testing, technology rights, manufacturing, marketing and commercialization of our products. The operating entity has various research collaborations and outsource other business functions. The operating entity’s license agreements could obligate it to diligently bring potential products to market, make substantial milestone payments and royalties and incur the costs of filing and prosecuting patent applications. There are no assurances that the operating entity will be able to establish or maintain collaborations that are important to its business on favorable terms, or at all. The operating entity could enter into collaborative arrangements for the development of particular products that may lead to its relinquishing some or all rights to the related technology or products. A number of risks arise from the operating entity’s dependence on collaborative agreements with third parties. Product development and commercialization efforts could be adversely affected if any collaborative partner (i) terminates or suspends its agreement or arrangement with the operating entity; (ii) causes delays; (iii) fails to timely develop or manufacture in adequate quantities a substance needed in order to conduct clinical trials; (iv) fails to adequately perform clinical trials; (v) determines not to develop, manufacture or commercialize a product to which it has rights; or (vi) otherwise fails to meet its contractual obligations. In addition, the operating entity’s collaborative partners could pursue other technologies or develop alternative products that could compete with the products the operating entity is developing.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entity’s business requires a number of permits and licenses. We cannot assure you that the operating entity can maintain all required licenses, permits and certifications to carry on its business at all times.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operating entity’s products can be profitable, they must be produced in commercial quantities in a cost-effective manufacturing process that complies with regulatory requirements, such as China’s GMP, production and quality control regulations. If the operating entity cannot arrange for or maintain commercial-scale manufacturing on acceptable terms, or if there are delays or difficulties in the manufacturing process, the operating entity may not be able to conduct clinical trials, obtain regulatory approval or meet demand for its products.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operating entity has obtained certificates, permits, and licenses required for the operation of a bio-pharmaceutical enterprise and the manufacturing of veterinary vaccines in the PRC. However, we cannot assure you that the operating entity can maintain all the other required licenses, permits and certifications to carry on its business at all times, and in the past from time to time the operating entity may have not been in compliance with all such required licenses, permits and certifications. Moreover, these licenses, permits and certifications are subject to periodic renewal and/or reassessment by the relevant PRC governmental authorities and the standards of such renewal or reassessment may change from time to time. The operating entity intends to apply for the renewal of these licenses, permits and certifications when required by then applicable laws and regulations. Any failure by the operating entity to obtain and maintain all licenses, permits and certifications necessary to carry on its business at any time could have a material adverse effect on its business, financial condition and results of operations. In addition, any inability to renew these licenses, permits and certifications could severely disrupt the operating entity’s business and prevent it from continuing to carry on its business. Any changes in the standards used by governmental authorities in considering whether to renew or reassess the operating entity’s business licenses, permits and certifications, as well as any enactment of new regulations that may restrict the conduct of its business, may also decrease its revenue and/or increase its costs and materially reduce its profitability and prospects. Furthermore, if the interpretation or implementation of existing laws and regulations changes or if new regulations come into effect requiring the operating entity to obtain any additional licenses, permits or certifications that were previously not required to operate its existing businesses, we cannot assure you that the operating entity will successfully obtain such licenses, permits or certifications.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entity’s ability to generate more revenue would be adversely affected if it needs more clinical trials or take more time to complete its clinical trials than it has planned.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vary in design by factors including dosage, end points, length, and controls. The operating entity may need to conduct a series of trials to demonstrate the safety and efficacy of its products. The results of these trials may not demonstrate safety or efficacy sufficiently for regulatory authorities to approve its products. Further, the actual schedules for the operating entity’s clinical trials could vary dramatically from the forecasted schedules due to factors including changes in trial design, conflicts with the schedules of participating clinicians and clinical institutions, and changes affecting product supplies for clinical trials. Delays in or failure to commence or complete any planned clinical trials could delay the ultimate timelines for the operating entity’s product releases. Such delays could reduce investors’ confidence in the operating entity’s ability to develop products, likely causing the price of our Class A Ordinary Shares to decrease.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retain, attract, and motivate key personnel, we may be unable to effectively implement our business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our ability to retain, attract, and motivate highly skilled management, research and development, marketing, and sales personnel. The loss of and failure to replace key technical management and personnel could adversely affect multiple development efforts. Recruitment and retention of senior management and skilled technical, sales and other personnel is very competitive, and we may not be successful in either attracting or retaining such personnel. We may lose key personnel to other high technology companies, and many larger companies with significantly greater resources than us may aggressively recruit key personnel. As part of our strategy to attract and retain key personnel, we may offer equity compensation through grants of share options, restricted share awards or restricted share units. Potential employees, however, may not perceive our equity incentives as attractive enough. In addition, due to the intense competition for qualified employees, we may be required to, and have had to, increase the level of compensation paid to existing and new employees, which could materially increase our operating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operating entity is unable to obtain the regulatory approvals or clearances that are necessary to commercialize its products, we will have less revenue than expected.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China and other countries impose significant statutory and regulatory obligations upon the manufacture and sale of bio-pharmaceutical products. Each regulatory authority typically has a lengthy approval process in which it examines pre-clinical and clinical data and the facilities in which the product is manufactured. Regulatory submissions must meet complex criteria to demonstrate the safety and efficacy of the ultimate products. Addressing these criteria requires considerable data collection, verification and analysis. We may spend time and money preparing regulatory submissions or applications without assurances as to whether they will be approved on a timely basis or at all.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entity’s product candidates, some of which are currently in the early stages of development, will require significant additional development and pre-clinical and clinical testing prior to their commercialization. These steps and the process of obtaining required approvals and clearances can be costly and time-consuming. If the operating entity’s potential products are not successfully developed, cannot be proven to be safe and effective through clinical trials, or do not receive applicable regulatory approvals and clearances, or if there are delays in the process, (i) the commercialization of the operating entity’s products could be adversely affected; (ii) any competitive advantages of the products could be diminished; and (iii) revenue or collaborative milestones from the products could be reduced or delayed.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Governmental and regulatory authorities may approve a product candidate for fewer indications or narrower circumstances than requested or may condition approval on the performance of post-marketing studies for a product candidate. Even if a product receives regulatory approval and clearance, it may later exhibit adverse side effects that limit or prevent its widespread use or that force us to withdraw the product from the market. Any marketed product and its manufacturer, including the operating entity, will continue to be subject to strict regulation after approval. Results of post-marketing programs may limit or expand the further marketing of products. Unforeseen problems with an approved product or any violation of regulations could result in restrictions on the product, including its withdrawal from the market and possible civil actions.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manufacturing the operating entity’s products, the operating entity are required to comply with applicable GMP regulations, which include requirements relating to quality control and quality assurance, as well as the maintenance of records and documentation. If the operating entity cannot comply with regulatory requirements, including applicable GMP requirements, the operating entity may not be allowed to develop or market the product candidates. If the operating entity or its manufacturers fail to comply with applicable regulatory requirements at any stage during the regulatory process, the operating entity may be subject to sanctions, including fines, product recalls or seizures, injunctions, refusal of regulatory agencies to review pending market approval applications or supplements to approve applications, total or partial suspension of production, civil penalties, withdrawals of previously approved marketing applications and criminal prosecution.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operating entity sources its raw materials used for manufacturing from a limited number of suppliers. If it loses one or more of the suppliers, its operation may be disrupted, and both the operating entity’s and our results of operations may be adversely and materially impacted.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 ended December 31, 2025, two vendors accounted for 12.3% and 12.2% of the Company’s total purchases, respectively. For the fiscal year ended December 31, 2024, one vendor accounted for 14.2% of the Company’s total purchases. For the fiscal year ended December 31, 2023, there was no supplier accounted above 10% of the Company’s total purchases. If the operating entity loses suppliers and is unable to swiftly engage new suppliers, its operations may be disrupted or suspended, and it may not be able to deliver products to its customers on time. The operating entity may also have to pay a higher price to source from a different supplier on short notice. While the operating entity is actively searching for and negotiating with new suppliers, there is no guarantee that it will be able to locate appropriate new suppliers or supplier merger targets in its desired timeline. As such, both the operating entity’s and our results of operations may be adversely and materially impacted.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 customer concentration exposes the operating entity to all of the risks faced by its major customer and may subject it to significant fluctuations or declines in revenue, which may have a material adverse impact on the operating entity’s business, and its and our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 ended December 31, 2025, one customer, Muyuan Foods Co., Ltd. (“MYF”) accounted for 13.7% of our total revenue. For the fiscal year ended December 31, 2024, one customer, MYF accounted for 44.6% of our total revenue. For the fiscal year ended December 31, 2023, two customers, MYF and Shuangbaotai (Group) Corporation Limited (“Shuangbaotai”), accounted for 52.1% and 15.0% of our total revenue, respectively. Although the operating entity continually seeks to diversify its customer base, we cannot assure you that the proportion of the revenue contribution from these customers to the operating entity’s total revenue will decrease in the near future. Dependence on these customers will expose the operating entity to the risks of substantial losses. Specifically, any one of the following events, among others, may cause material fluctuations or declines in the operating entity’s revenue and have a material and adverse effect on the operating entity’s business, and both its and our financial condition, and results of operations: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decline in the business of these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by these customers to switch to the operating entity’s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prices of the operating entity’s products agreed by these customers;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of any of these customers to make timely payment for the operating entity’s products.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operating entity fails to maintain relationships with these customers, and if it is unable to find replacement customers on commercially desirable terms or in a timely manner or at all, the operating entity business, both its and our financial condition and results of operations may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market conditions and dynamics of demand and supply could have a material adverse effect on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volatility can lead to rapid changes in product pricing, availability of raw materials, and customer demand which could adversely impact our profitability. Additionally, unforeseen shifts in market preferences or the entry of new competitors could alter the supply and demand balance, affecting our sales and market share. Our business, financial condition, and results of operations could be materially and adversely affected by variations in market conditions as well as fluctuations in the demand and supply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brand image could have a material adverse effect on our growth strategy and our business, financial condition, results of operations and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and enhancing our brand is critical to expanding our base of customers. Our ability to maintain and enhance our brand depends largely on our ability to maintain customer confidence in our product and service offerings, including by providing after-sales services and technical guidance to customers. If customers do not have a satisfactory experience with our products or services, our customers may seek out alternatives from our competitors and may not return to us in the future, or at all.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unfavorable publicity regarding, for example, our practices relating to privacy and data protection, product quality, delivery problems, competitive pressures, litigation or regulatory activity, could seriously harm our reputation. Such negative publicity also could have an adverse effect on the size, engagement, and loyalty of our customer base and result in decreased total revenue which could adversely affect our business, financial condition and results of operations. Customer complaints or negative publicity about our marketplace, products, delivery times, company practices, employees, customer data handling and security practices or customer support, especially on social media websites and in our marketplace, could rapidly and severely diminish our customers’ confidence in us and result in harm to our brands.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If the operating entity cannot successfully protect its intellectual property and exclusive rights, our brand and business would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relies on a combination of trademark, copyright, domain name and trade secret protection laws in China, as well as confidentiality procedures and contractual provisions, to protect its intellectual property rights and other exclusive rights. The operating entity also enters into agreements containing confidentiality obligations with its employees and any third parties who may access its proprietary technology and information, and the operating entity rigorously controls access to its proprietary technology and information.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Nevertheless, we cannot guarantee that the operating entity can successfully protect its intellectual property and exclusive rights from unauthorized usage by third parties or breach of confidentiality obligations by its counterparties. For example, there could be other competitors imitating or copying the operating entity’s self-developed products without the operating entity’s prior consent, which may harm its reputation and operations. Furthermore, a third-party may take advantage of the “first-to-file” trademark registration system in China to register the operating entity’s brands in bad faith, which will cause the operating entity to incur additional costs for legal actions. Moreover, confidentiality obligations may be breached by counterparties, and there may not be adequate remedies available to the operating entity for any such breach. Accordingly, the operating entity may not be able to effectively protect its intellectual property rights and exclusive rights or to enforce its contractual rights in China or elsewhere. Moreover, although the operating entity sells its products outside of the PRC, it does not have any intellectual property protection in those foreign countries. Failure to protect its intellectual properties in these countries could have a material adverse effect on both our and the operating entity’s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policing any unauthorized use of the operating entity’s intellectual property and exclusive rights is difficult, time-consuming and costly. The precaution steps the operating entity has taken for protecting our rights may be inadequate. In the event that the operating entity resorts to litigation to enforce its intellectual property rights and exclusive rights, such litigation could result in substantial costs and a diversion of the operating entity’s managerial and financial resources. We can provide no assurance that the operating entity will prevail in such litigation or that the operating entity would be able to halt any unauthorized use of its intellectual property and exclusive rights. In addition, the operating entity’s trade secrets may be leaked to, or be independently discovered by, its competitors. Any failure in protecting or enforcing the operating entity’s intellectual property rights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entity may be accused of infringing, misappropriating or otherwise violating the intellectual property rights of third parties.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the operating entity’s product design, offerings, or technologies do not or will not infringe upon copyrights or other intellectual property rights (including, but not limited to, trademarks, patents and know-how) held by third parties. For example, the design of third-party products and the operating entity’s products may be similar and result in intellectual property disputes. Nor can we assure you that the operating entity’s use of software or any other intellectual properties in business and operation will not be alleged by any third party as infringement resulting from lack of licenses. If any third-party infringement claims are brought against the operating entity, the operating entity may be forced to divert management’s time and other resources from its business and operations to defend against these claims. The operating entity may also be prohibited from using such intellectual property or relevant content. As a result, the operating entity may incur licensing or usage fees, develop alternatives of its own, or even need to pay damages, legal fees and other costs. Even if such assertions against the operating entity are unsuccessful, they may cause the operating entity to lose existing and future business and incur reputational harm and substantial legal fees. As a result, our reputation may be harmed, and our business and financial performance may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and regulatory proceedings from time to time in the ordinary course of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been subject to any material allegations or complaints in the past, but we may be involved in legal and other disputes in the ordinary courses of our business, including allegations against us for potential infringement of third-party copyrights or other intellectual property rights, as well as customer complaints in relation to our refund policy, the quality of our services, and other dissatisfaction. We might also be involved in governmental investigations for content posted on our websites or other aspect of our business operation in the future. Any claims against us, with or without merit, could be time-consuming and costly to defend or litigate, divert our management’s attention and resources or harm our brand equity. If a lawsuit or governmental proceeding against us is successful, we may be required to pay substantial damages or fines. We may also lose, or be limited in, the rights to offer some of our products and services or be required to make changes to our content offerings or business model. As a result, the scope of our content, product and service offerings could be reduced, which could adversely affect our ability to attract new customers, harm our reputation and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becoming a public company will raise our public profile, which may result in increased litigation as well as increased public awareness of any such litigation. There is substantial uncertainty regarding the scope and application of many of the laws and regulations to which we are subject, which increases the risk that we will be subject to claims alleging violations of those laws and regulations. In the future, we may also be accused of having, or be found to have, infringed, misappropriated or otherwise violated third-party intellectual property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similar worldwide anti-bribery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facilitating overseas business development. The U.S. Foreign Corrupt Practices Act and similar anti-bribery laws generally prohibit companies and their intermediaries from making improper payments to foreign government officials for the purpose of obtaining or retaining business. Practices in the local business communities of many countries outside the United States have a level of government corruption that is greater than that found in the developed world. Our policies mandate compliance with these anti-bribery laws and we have established policies and procedures designed to monitor compliance with these anti-bribery law requirements; however, we cannot assure you that our policies and procedures will protect us from all potential reckless or criminal acts committed by individual employees or agents. If we are found to be liable for anti-bribery law violations, we could suffer from criminal or civil penalties or other sanctions that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Class A Ordinary Shares and the Trading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share structure with different voting rights may adversely affect the value and liquidity of the Class A 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share structure with different voting rights will result in a lower or more volatile market price of the Class A Ordinary Shares, in adverse publicity, or other adverse consequences. Certain index providers have announced restrictions on including companies with multiple class share structures in certain of their indices. Because of our dual class structure, we will likely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the Class A Ordinary Shares less attractive to investors. In addition, several shareholder advisory firms have announced their opposition to the use of a multiple class structure and our dual class structure may cause shareholder advisory firms to publish negative commentary about our corporate governance, in which case, the market price and liquidity of the Class A Ordinary Shares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share structure with different voting rights will limit your ability to influence corporate matters and could discourage others from pursuing any change of control transactions that holders of our Class A Ordinary Shares may view as beneficial.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dual class share structure such that our Ordinary Shares consist of Class A Ordinary Shares and Class B Ordinary Shares. In respect of matters requiring the votes of shareholders, each Class A Ordinary Share is entitled to one vote and each Class B Ordinary Share is entitled 20 votes. Each Class B Ordinary Share is convertible into one Class A Ordinary share at any time by the holder thereof. In addition, upon any sale, transfer, assignment or disposition of any Class B Ordinary Share by a shareholder to any person who is not the Designated Person (as defined in our articles of association) or an affiliate of the Designated Person, or upon a change of ultimate beneficial ownership of any Class B Ordinary Share to any person who is not the Designated Person or an affiliate of the Designated Person, such Class B Ordinary Share shall be automatically and immediately converted into the same number of Class A Ordinary Shares. Our Class A Ordinary Shares are not convertible into our Class B Ordinary Shares under any circumstances. Only our Class A Ordinary Shares are listed on Nasdaq. This voting structure may discourage investors from pursuing any change of control transactions that holders of our Class A Ordinary Shares may view as beneficial.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Class B Ordinary Shares may be dilutive to holders of Class A Ordinary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additional Class B Ordinary Shares in the future in connection with future financings, strategic transactions, equity incentive plans, or otherwise. Any such issuance could result in dilution to existing holders of our Class A Ordinary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since Class B Ordinary Shares carry greater voting rights than Class A Ordinary Shares, any future issuances of Class B Ordinary Shares could have the effect of further concentrating voting power in certain shareholders. This may reduce the influence of Class A Ordinary Shareholders over matters requiring shareholder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as to when or if we will issue additional Class B Ordinary Shares, or the terms of any such issuance. However, any such future issuances could materially and adversely affect the market price of our Class A Ordinary Shares and dilute the interests of existing Class A Ordinary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may apply additional and more stringent criteria for our continued listing, since our insiders hold a large portion of our listed securities.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Nasdaq Listing Rule 5101 provides Nasdaq with broad discretionary authority over the initial and continued listing of securities on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(i) where the company engaged an auditor that has not been subject to an inspection by the Public Company Accounting Oversight Board (the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(in which instance, Nasdaq was concerned that the offering size was insufficient to establish the company’s initial valuation, and there would not be sufficient liquidity to support a public market for the company); and (iii) where the company did not demonstrate sufficient nexus to the U.S. capital market, including having no U.S. shareholders, operations, or members of the board of directors or management. Since our insiders hold a large portion of our listed securities, Nasdaq may apply additional and more stringent criteria for our continued listing. If we fail to satisfy Nasdaq’s enhanced listing requirements, or even if we satisfy such requirements but Nasdaq nevertheless determines that the continued listing of our securities is inadvisable or unwarranted, Nasdaq may delist our Class A Ordinary Shares. Any such delisting could materially and adversely affect the trading market for our Class A Ordinary Shares and could cause their value to decline significantly or become worthless.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has proposed a new $5 million minimum market value continued listing requirement that, if approved, could result in immediate suspension and delisting of our Class A Ordinary Shares without any cure period or opportunity to regain compliance.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Class A Ordinary Shares would be immediately suspended from trading and delisted from Nasdaq, with no cure period, no compliance period, and no stay of suspension during any appeal.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to appeal a delisting determination, such a request would not prevent the immediate suspension of our Class A Ordinary Shares from trading. Furthermore, the panel would have extremely limited discretion and could only reverse the delisting decision if it determines that the initial determination was in error, and the panel could not consider evidence that we had subsequently regained compliance or grant us additional time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is part of a broader trend of Nasdaq tightening listing standards for smaller issuers, including recent rules granting Nasdaq discretion to deny initial listings based on susceptibility to manipulative trading and other market value-based requirements. This increasingly stringent regulatory environment creates greater challenges for microcap companies such as us to maintain public listings.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proposed $5 million market value continued listing requirement is approved and we subsequently fail to maintain the required market value for 30 consecutive business days, our Class A Ordinary Shares would be immediately suspended from trading and delisted from Nasdaq without any opportunity to cure the deficiency. Such suspension and delisting would have severe adverse consequences for our business, our ability to raise capital, and the liquidity and value of our shareholders’ investments. Moreover, even if we remain in compliance with quantitative criteria, Nasdaq retains discretionary authority under Rule IM-5101-1 to suspend or terminate a company’s listing if necessary to protect investors or ensure the orderly operation of the market, which could result in similar adverse consequences even absent a failure to meet specific quantitative thresholds.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a small company, the requirements of being a public company, including compliance with the reporting requirements of the Exchange Act and certain requirements of the Sarbanes-Oxley Act of 2022 (the “Sarbanes-Oxley Act”) and the Dodd-Frank Wall Street Reform and Consumer Protection Act (the “Dodd-Frank Act”), may strain our resources, increase our costs and distract management, and we may be unable to comply with these requirements in a timely or cost-effective manner.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with listed equity securities, we must comply with the federal securities laws, rules, and regulations, including certain corporate governance provisions of the Sarbanes-Oxley Act and the Dodd-Frank Act, related rules and regulations of the SEC and the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spacing w:after="0" w:line="180"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system of internal control over financial reporting in compliance with the requirements of Section 404 of the Sarbanes-Oxley Act and the related rules and regulations of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and regulations promulgated by the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federal securities 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various internal compliance and disclosures policies, such as those relating to disclosure controls and procedures and insider trading in our Class A Ordinary Shares;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may not develop or sustain, and the trading price for our Class A Ordinary Shares may fluctuate significantly.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assurance can be given that an active market in our Class A Ordinary Shares will develop or be sustained. If an active market does not develop, the market price and liquidity of our Class A Ordinary Shares may be materially and adversely affected, and holders of our Class A Ordinary Shares may be unable to readily sell the shares they hold or may not be able to sell their shares at all. There can be no guarantee that we will continue to satisfy the continued listing standards of Nasdaq. If we fail to satisfy the continued listing standards, we could be de-listed, which would have a negative effect on the price of our Class A Ordinary Shares and impair your ability to sell your shares. As a result, investors in our securities may experience a significant decrease in the value of their Class A Ordinary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our Class A Ordinary Shares may be materially and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reporting obligations under U.S. securities laws. The SEC adopted rules pursuant to Section 404 of the Sarbanes-Oxley Act of 2002 requiring every public company to include a management report on such company’s internal control over financial reporting in its annual report, which contains management’s assessment of the effectiveness of its internal control over financial reporting. In addition, if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on an annual basis.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burden on our management, operational, and financial resources and systems for the foreseeable future. We may be unable to complete our evaluation testing and any required remediation in a timely manner.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Class A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material weaknesses and deficiencies in our internal control over financial reporting.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 us to increased risk of fraud, misuse of corporate assets and legal actions under the United States securities laws and subject us to potential delisting from Nasdaq, to regulatory investigations and to civil or criminal sanctions.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incurred substantial increased costs as a result of being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we became a public company, we have incurred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costlier. We have incurred additional costs in obtaining director and officer liability insurance. In addition, we incur additional costs associated with our public company reporting requirements. It may also be more difficult for us to find qualified persons to serve on our board of directors or as executive officers.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and monitoring developments with respect to these rules and regulations, and we cannot predict or estimate with any degree of certainty the amount of additional costs we may incur or the timing of such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2025, 2024, and 2023, our declared dividends amounted to nil, RMB0.2 million, and RMB55.1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above, 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a negative report regarding our Class A Ordinary Shares, the price of our Class A Ordinary Shares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may be volatile or may decline regardless of our operating performance, and you may not be able to resell your shares at or above the initial public offering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for our Class A Ordinary Shares was determined through negotiations between the Underwriter and us and may vary from the market price of our Class A Ordinary Shares following our initial public offering. If you purchase our Class A Ordinary Shares in our initial public offering, you may not be able to resell those shares at or above the initial public offering price. We cannot assure you that the initial public offering price of our Class A Ordinary Shares, or the market price following our initial public offering, will equal or exceed prices in privately negotiated transactions of our shares that have occurred from time to time prior to our initial public offering. The market price of our Class A Ordinary Shares may fluctuate significantly in response to numerous factors, many of which are beyond our control, including:</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filed securities class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Ordinary Shares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Class A Ordinary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Class A Ordinary Shares.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Class A Ordinary Shares are low, persons buying or selling in relatively small quantities may easily influence the price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Class A Ordinary Shares or other of our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shares they hold or may not be able to sell their shares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to determine how to use the funds raised in the offering and may use them in ways that may not enhance our results of operations or the price of our Class A Ordinary Shares.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we will use the net proceeds from the initial public offering to acquire vaccine production companies and conduct research and development (“R&amp;D”) projects. Our management will have significant discretion as to the use of the net proceeds to us from the securities offerings and could spend the proceeds in ways that do not improve our results of operations or enhance the market price of our Class A Ordinary Shares.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qualify as a foreign private issuer upon the completion of the initial public offering. As a foreign private issuer, we will be exempt from the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As of the date of this annual report, the Company’s directors and officers are subject to the Section 16(a) reporting requirements pursuant to the Holding Foreign Insiders Accountable Act. All of our directors and officers have filed their initial statements of beneficial ownership on Form 3 as the date of this annual report. In addition, we are not required under the Exchange Act to file periodic reports and financial statements with the SEC as frequently or as promptly as United States domestic issuers, and we are not required to disclose in our periodic reports all of the information that United States domestic issuers are required to disclose. While we currently expect to continue qualify as a foreign private issuer, we may cease to qualify as a foreign private issuer in the future.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listing rules require listed companies to have, among other things, a majority of its board members be independent. As a foreign private issuer, however, we are permitted to, and we may follow home country practice in lieu of the above requirements, or we may choose to comply with the above requirement within one year of listing. The corporate governance practice in our home country, the Cayman Islands, does not require a majority of our board to consist of independent directors. Thus, although a director must act in the best interests of our Company, it is possible that fewer board members will be exercising independent judgment and the level of board oversight on the management of our Company may decrease as a result. In addition, Nasdaq listing rules also require U.S. domestic issuers to have a compensation committee, a nominating/corporate governance committee composed entirely of independent directors, and an audit committee with a minimum of three members. We, as a foreign private issuer, are not subject to these requirements. Nasdaq listing rules may require shareholder approval for certain corporate matters, such as requiring that shareholders be given the opportunity to vote on all equity compensation plans and material revisions to those plans, certain Class A Ordinary Share issuances. We intend to comply with the requirements of Nasdaq listing rules in determining whether shareholder approval is required on such matters and to appoint a nominating and corporate governance committee. We may, however, consider following home country practice in lieu of the requirements under Nasdaq listing rules with respect to certain corporate governance standards which may afford less protection to investors.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satisfy the listing requirements and other rules of the Nasdaq Capital Market, our securities may be delisted, which could negatively impact the price of our securities and your ability to sell them.</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list our Class A Ordinary Shares on the Nasdaq Capital Market. In order to maintain our listing on the Nasdaq Capital Market, we are required to comply with certain rules of the Nasdaq Capital Market, including those regarding minimum stockholders’ equity, minimum share price, minimum market value of publicly held shares, and various additional requirements. Even if we initially meet the listing requirements and other applicable rules of the Nasdaq Capital Market, we may not be able to continue to satisfy these requirements and applicable rules. If we are unable to satisfy the Nasdaq Capital Market criteria for maintaining our listing, our securities could be subject to delisting.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Nasdaq Capital Market subsequently delists our securities from trading,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of association may discourage, delay, or prevent a change in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provisions of our articles of association may discourage, delay, or prevent a change in control of our Company or management that shareholders may consider favorable, including, among other things, provisions that authorize our board of directors to issue shares with preferred, deferred, or other special rights or restrictions without any further vote or action by our shareholders.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“emerging growth company,” we may not be subject to requirements that other public companies are subject to, which could affect investor confidence in us and our Class A Ordinary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Further, we elected to use the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these financial statements may not be comparable to companies that comply with the new or revised accounting pronouncements as of public company effective dates. If some investors find our Class A Ordinary Shares less attractive as a result, there may be a less active trading market for our Class A Ordinary Shares and our share price may be more volatile.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the Cayman Islands may not provide our shareholders with benefits comparable to those provided to shareholders of corporations incorporated in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as amended and restated from time to time, the Cayman Companies Act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as well as from the common law of England, the decisions of whose courts are of persuasive authority, but are not binding, on a court in the Cayman Islands. Decisions of courts in other Commonwealth jurisdictions are similarly of persuasive but not binding authority.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relative to the United States. Therefore, our public shareholders may have more difficulty protecting their interests in the face of actions by our management, directors or controlling shareholders than would shareholders of a corporation incorporated in a jurisdiction in the United States.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the register of members of these companies. Our articles of association have provisions that provide our shareholders the right to inspect our register of members without charge, and to receive our annual audited financial statements. Subject to the foregoing,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Cayman Islands law does not provide shareholders with any right to requisition a general meeting or put any proposal before a general meeting. These rights, however, may be provided in a company’s articles of association. Our articles of association allow any one or more of our shareholders holding shares representing in aggregate not less than one-tenth of our voting share capital in issue, to requisition a general meeting of our shareholders, in which case our directors are obliged to call such meeting. Advance notice of at least ten clear days is required for the convening of our annual general shareholders’ meeting and any other general meeting of our shareholders. A quorum required for a meeting of shareholders consists of one or more shareholders holding shares which carry in aggregate (or representing by proxy) not less than a majority of all votes attaching to all shares in issue and entitled to vote at such general meeting. For these purposes, “clear days” means that period excluding (a) the day when the notice is given or deemed to be given and (b) the day for which it is given or on which it is to take effect.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PFIC, United States taxpayers who own our Class A Ordinary Shares may have adverse United States federal income tax consequences.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corporation such as us will be classified as a PFIC for any taxable year if, for such year, either</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which produce passive income or which are held for the production of passive income is at least 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and royalties (other than rents or royalties derived from the active conduct of a trade or business), and gains from the disposition of passive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Class A Ordinary Shares, the U.S. taxpayer may be subject to increased U.S. federal income tax liability and may be subject to additional reporting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amount of assets held for the production of passive income, it is possible that, for any subsequent year, more than 50% of our assets may be assets which produce passive income, in which case we would be deemed a PFIC, which could have adverse U.S. federal income tax consequences for U.S. taxpayers who are shareholders. We believe we are not a PFIC for the current year. We will continue to make this determination following the end of any particular tax year. For purposes of the PFIC analysis, in general, a non-U.S. corporation is deemed to own its pro rata share of the gross income and assets of any entity in which it is considered to own at least 25% of the equity by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or are determined to be a PFIC, see “Material Income Tax Consideration — Material United States Federal Income Tax Consequences — PFIC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2004, Jilin Zhengye was established as a limited liability company organized under the laws of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initial public offering, we had undertaken a reorganization of our corporate structure (the “Reorganization”) in the following steps: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Zhengye Cayman was incorporated as an exempted company with limited liability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2023, VVAX Skyline was incorporated in the BVI as a company with limited liability; it is a wholly owned subsidiary of Zhengye Cayman;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18, 2023, Peg Biotechnology was incorporated in Hong Kong with as a company limited liability; it is a wholly owned subsidiary of VVAX Skyline;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2023, we repurchased 100% of the equity interests from our original shareholders and issued 10,000,000 Ordinary Shares to Securingium Holding Limited;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22, 2023, Hainan Senhan was incorporated in the PRC with limited liability; it is a wholly owned subsidiary of Peg Biotechnology;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22, 2023 and June 20, 2023, Hainan Senhan acquired an aggregate of 58.689% of the equity interests in Jilin Zhengye from its original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2023, VVAX Skyline acquired 100% of the equity interests in Windsor Holdings from its original shareholders;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21, 2023, we issued 570,830 ordinary shares to VVAX Holdings Limited, 569,688 ordinary shares to Vanguards Skyline Holdings Limited, 259,465 ordinary shares to TLjinmao Limited, and 16,611 ordinary shares to XZjinyuan Limited.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Consequently, Zhengye Cayman, through a restructuring which is accounted for as a reorganization of entities under common control, became the ultimate holding company of all other entities mentioned above.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20, 2024, VVAX Holdings Limited transferred 399,581 ordinary shares to Visuccess Holding Limited, leaving VVAX Holdings Limited with 171,249 ordinary shares.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2024, the directors and shareholders of the Company unanimously passed resolutions approving, among others things, the share subdivision, pursuant to which each of our issued and unissued ordinary shares, par value US$0.0001 per share, was subdivided into 4 ordinary shares, par value US$0.000025 per share, following which, the Company effectuated such 1:4 share subdivision, whereupon (1) the Company’s authorized share capital was changed from US$50,000 divided into 500,000,000 ordinary shares, par value US$0.0001 per share, to US$50,000 divided into 2,000,000,000 Ordinary Shares, par value $0.000025 per share; and (2) our issued share capital was changed from US$1,141.6594 divided into 11,416,594 ordinary shares, par value US$0.0001 per share, to US$1,141.6594 divided into 45,666,376 ordinary shares, par value US$0.000025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As a holding company, Zhengye Cayman has no material operations of its own and conducts its operations through Jilin Zhengye. See “Risk Factors — Risks Relating to Doing Business in China — Chinese regulatory authorities could disallow our holding company structure, which may result in a material change in the operating entity’s operations and/or a material change in the value of the securities we are registering for sale, including that it could cause the value of such securities to significantly decline or become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Initial Public Offering (“IPO”)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we closed our IPO of 1,500,000 ordinary shares at the public offering price of $4.00 per share, and Kingswood Capital Partners, LLC, as the representative of the underwriters of the IPO, exercised its over-allotment option in full to purchase an additional 225,000 ordinary shares of the Company at a public offering price of $4.00 per share. Gross proceeds from the IPO totaled approximately US$6.9 million, before deducting underwriting discounts and other related expenses. The Ordinary Shares were previously approved for listing on the Nasdaq Capital Market and commenced trading under the ticker symbol “ZYBT” on January 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Reclassification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2026, the Company held its annual general meeting of shareholders, at which shareholders approved the adoption of a dual-class share structure. Pursuant to the shareholders resolutions, all of the issued and unissued ordinary shares of a par value of US$0.000025 each in the capital of the Company be re-designated and reclassified in the following manner (the “Share Reclassification”):</w:t>
      </w:r>
    </w:p>
    <w:p>
      <w:pPr>
        <w:spacing w:after="0" w:line="176" w:lineRule="exact"/>
        <w:rPr>
          <w:sz w:val="20"/>
          <w:szCs w:val="20"/>
          <w:color w:val="auto"/>
        </w:rPr>
      </w:pPr>
    </w:p>
    <w:p>
      <w:pPr>
        <w:ind w:firstLine="8"/>
        <w:spacing w:after="0" w:line="282" w:lineRule="auto"/>
        <w:tabs>
          <w:tab w:leader="none" w:pos="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40,000,000 issued ordinary shares of a par value of US$0.000025 each held by Securingium Holding Limited be re-designated and reclassified as 40,000,000 Class B Ordinary Shares;</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remaining issued ordinary share of a par value of US$0.000025 each be re-designated and reclassified as one issued Class A Ordinary Share;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60,000,000 authorized but unissued ordinary shares of a par value of US$0.000025 each be re-designated and reclassified as 60,000,000 authorized but unissued Class B Ordinary Shares;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remaining authorized but unissued ordinary share of a par value of US$0.000025 each be re-designated and reclassified as one authorized but unissued Class A Ordinary Share;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 consequence of the Share Reclassification, the authorized share capital of the Company be altered from US$50,000 divided into 2,000,000,000 ordinary shares of a nominal or par value of US$0.000025 each, to US$50,000 divided into 2,000,000,000 Ordinary Shares, comprising (1) 1,900,000,000 Class A Ordinary Shares and (2) 100,000,000 Class B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 Each Class B Ordinary Share is convertible into one Class A Ordinary Share at any time at the option of the holder thereof. In no event shall Class A Ordinary Shares be convertible into Class B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846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reflect the voting power, instead of the equity interests, held by each of our shareholders, given that each holder of Class B Ordinary Shares is entitled to 20 votes per one Class B Ordinary Share and each holder of Class A Ordinary Shares is entitled to one vote per one Class A Ordinary Share.</w:t>
      </w:r>
    </w:p>
    <w:p>
      <w:pPr>
        <w:spacing w:after="0" w:line="176" w:lineRule="exact"/>
        <w:rPr>
          <w:sz w:val="20"/>
          <w:szCs w:val="20"/>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40,000,000 Class B Ordinary Shares held by Securingium Holding Limited, a BVI company, which is (i) 0.01% owned by Jiahe Developments Limited, which itself is 100% owned by Zhenfa Han, and (ii) 99.99% owned by TSset Holding Limited, which itself is 100% owned by Trident Trust Company (HK) Limited, which acts as the trustee of Generations United Trust, as of the date of this annual report. The settlor, beneficiary, and protector of Generations United Trust is Zhenfa Han.</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684,996 Class A Ordinary Shares held by VVAX Holdings Limited, a BVI company, which is 100% owned by Jilin Zhengye Group Co., Ltd., which is 99% owned by Zhenfa Han and 1% owned by Lihua Sun, as of the date of this annual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2,278,752 Class A Ordinary Shares held by Vanguards Skyline Holdings Limited, a BVI company, which is 100% owned by Changchun Feier Investment Center (Limited Partnership), which is 19.79% owned by Zhenfa Han. Changchun Feier Investment Center (Limited Partnership) is ultimately controlled by its managing partner, Zhenfa Han, as of the date of this annual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1,037,860 Class A Ordinary Shares held by TLjinmao Limited, a BVI company, which is 100% owned by Nanjing Tailong Jinmao Pharmaceutical Industry Investment Enterprise (Limited Partnership), which is a private equity fund established and managed by Tibet Golden Investment Management Co., Ltd., as of the date of this annual report. Tibet Golden Investment Management Co., Ltd. is a Chinese private equity fund management company focusing on investment management and financial information consulting.</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66,444 Class A Ordinary Shares held by XZjinyuan Limited, a BVI company, which is 100% owned by Tibet Golden Investment Management Co., Ltd., which is a Chinese private equity fund management company focusing on investment management and financial information consulting, as of the date of this annual report.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1,598,324 Class A Ordinary Shares held by Visuccess Holding Limited, a Hong Kong company, which is 100% owned by Lanying Jiang.</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Zhengye is held 58.6890% by Hainan Senhan, 25.1524% by Windsor Holdings, 15.2439% by Jilin Economic and Technological Development Zone Economic and Technological Development General Corporation, 0.9146% by Jilin Jinqiao Investment Co., Ltd., and 0.0001% by Yufen Liu, as of the date of this annual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Zhongnong Zhengye Biotechnology Co., Ltd. (“Beijing Zhengye”), a PRC company incorporated on April 16, 2025, is held 51.00% by Jilin Zhengye and 49.00% by Youjia Technology Consulting Service (Tianjin) Co., Ltd, as of the date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For details of our principal shareholders’ ownership, please refer to “Item 6. Directors, Senior Management and Employees—E. Share Ownership.”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PRC subsidiaries are operating in an industry that prohibits or limits foreign investment. As a result, neither we nor the PRC subsidiaries are required to obtain any permission from Chinese authorities to operate other than those required from a domestic company in China engaged in businesses similar to those of the PRC subsidiaries. Such licenses and permissions include a Business License, Certificate of Good Manufacturing Practice for Animal Drugs (“GMP”), Veterinary Drug Production License, Veterinary Drug Operation License, Use License of Experimental Animals, Registration Certificate of New Veterinary Drugs, Pollutant Discharge Permit. The PRC subsidiaries have obtained the above licenses and permissions to conduct their business in China. However, the PRC government may take actions to exert more oversight and control over offerings by China based issuers conducted overseas and/or foreign investment in such companies, which could significantly limit or completely hinder our ability to offer or continue to offer securities to investors and cause the value of our securities to significantly decline or become worthless.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treated our PRC subsidiaries as our consolidated affiliated entities under U.S. GAAP for the fiscal years ended December 31, 2025, 2024, and 2023. We have consolidated the financial results of our PRC subsidiaries in our financial statements in accordance with U.S. GAAP for the same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No.1 Lianmeng Road, Jilin Economic &amp; Technical Development Zone, Jilin Province, China and our phone number is +86-0432-63047008. Our registered office in the Cayman Islands is located at 3-212 Governors Square, 23 Lime Tree Bay Avenue, P.O. Box 30746, Seven Mile Beach, Grand Cayman KY1-1203, Cayman Islands. We maintain a corporate website at www.jlzybio.com. The information contained in, or accessible from, our website or any other website does not constitute a part of this annual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proxies, and information statements, and other information regarding issuers that file electronically with the SEC using its EDGAR system.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principal capital expenditures, see “Item 5. Operating and Financial Review and Prospects—B. Liquidity and Capital Resources—Capital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become a world-leading manufacturer of veterinary vaccines and to provide reliable veterinary vaccines to the world.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through the operating entity, focus on the research, development, manufacturing and sales of veterinary vaccines, with an emphasis on vaccines for livestock. For over 20 years, the operating entity has been committed to enhancing the health of animals. The operating entity markets a diverse range of vaccines, including vaccines for swine, cattle, goats, sheep, poultry, and dogs. The operating entity’s products are available in 29 provincial regions across China and are exported overseas to Vietnam, Pakistan and Egypt, as of the date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strengths contribute to our success and are the differentiating factors that set us apart from our peers:</w:t>
      </w:r>
    </w:p>
    <w:p>
      <w:pPr>
        <w:spacing w:after="0" w:line="221" w:lineRule="exact"/>
        <w:rPr>
          <w:sz w:val="20"/>
          <w:szCs w:val="20"/>
          <w:color w:val="auto"/>
        </w:rPr>
      </w:pPr>
    </w:p>
    <w:p>
      <w:pPr>
        <w:jc w:val="both"/>
        <w:ind w:left="660" w:hanging="328"/>
        <w:spacing w:after="0" w:line="25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Diversified products. </w:t>
      </w:r>
      <w:r>
        <w:rPr>
          <w:rFonts w:ascii="Times New Roman" w:cs="Times New Roman" w:eastAsia="Times New Roman" w:hAnsi="Times New Roman"/>
          <w:sz w:val="18"/>
          <w:szCs w:val="18"/>
          <w:color w:val="auto"/>
        </w:rPr>
        <w:t>The operating entity currently owns 50 veterinary vaccines in its product portfolio, which cover major veterinary vaccines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livestock, including monovalent vaccine, polyvalent vaccine, combined vaccine and combined and polyvalent vaccine, as of the date of this annual report. In addition to its focus on livestock vaccines, the operating entity is also developing vaccines for household animals. For example, as of the date of this annual report, the operating entity has secured governmental approval for the sale of Rabies Vaccine, Inactivated (Strain Flury LEP), which is designed to treat dogs.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left="328" w:hanging="328"/>
        <w:spacing w:after="0" w:line="257"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production quality. </w:t>
      </w:r>
      <w:r>
        <w:rPr>
          <w:rFonts w:ascii="Times New Roman" w:cs="Times New Roman" w:eastAsia="Times New Roman" w:hAnsi="Times New Roman"/>
          <w:sz w:val="18"/>
          <w:szCs w:val="18"/>
          <w:color w:val="auto"/>
        </w:rPr>
        <w:t>The operating entity has built three veterinary vaccine production floors, including 13 vaccine production lines,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examination center, and one animal facility for vaccine development, all operating in accordance with Good Manufacturing Practices for Veterinary Drugs issued by the Ministry of Agriculture and Rural Affairs of the PRC. Moreover, the operating entity has established a comprehensive quality management system, which complies with both Good Manufacturing Practices for Veterinary Drugs and the standards of ISO 9001:2015, ISO 14001:2015, and ISO 45001:2018. Through its quality management system, the operating entity oversees all production procedures, such as packaging, storage, shipping, equipment usage, raw materials examination, and environment detection.</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research and development capabilities. </w:t>
      </w:r>
      <w:r>
        <w:rPr>
          <w:rFonts w:ascii="Times New Roman" w:cs="Times New Roman" w:eastAsia="Times New Roman" w:hAnsi="Times New Roman"/>
          <w:sz w:val="18"/>
          <w:szCs w:val="18"/>
          <w:color w:val="auto"/>
        </w:rPr>
        <w:t>The operating entity has 51 employees working in its R&amp;D department, many of whom have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decade of experience working in the veterinary vaccine industry. Additionally, the operating entity owns one research center, which has helped the operating entity develop dozens of vaccines and inventions and utility models. In addition to independent R&amp;D, the operating entity maintains long-term cooperative relationships with a number of universities and institutions in the PRC, such as China Agricultural University, Nanjing Agricultural University, Jilin University, Harbin Veterinary Research Institute, Huazhong Agricultural University and Shanghai Veterinary Research Institute of Chinese Academy of Agricultural Sciences. Through these cooperations, the operating entity capitalizes on fundamental research from institutes to develop and manufacture new products. For example, the Swine Transmissible Gastroenteritis, Porcine Epidemic Diarrhea and Porcine Rotavirus (G5 type) Vaccine, live (Strain huadu+Strain CV777+Strain NX), developed by both the operating entity and the Harbin Veterinary Research Institute, and owned by the Harbin Veterinary Research Institute, for which the operating entity agreed to make a payment of RMB56 million and to pay 5% of its annual revenue from the sale of this vaccine every year, has already been launched and is available for purchase; the Duck Tembusu Viral Disease Vaccine, Live (Strain FX2010-180P), developed by both the operating entity and Shanghai Veterinary Research Institute, and owned by the Shanghai Veterinary Research Institute, for which the operating entity agreed to make a payment of RMB6 million and to pay 5% of its annual revenue from the sale of this vaccine every year, has been launched; and Reassortant Newcastle Disease Virus and Avian Influenza Virus (H9 Subtype) Vaccine, Inactivated (Strain aSG10+Strain G), developed by both the operating entity and China Agricultural University, jointly owned by the China Agricultural University and the China Institute of Veterinary Drug Control, for which the operating entity agreed to pay RMB6 million, has also been launched. On February 26, 2025, the Ministry of Agriculture and Rural Affairs approved the Live Vaccine for Mycoplasma bovis (Strain HB150) as a Category I New Veterinary Drug, which was jointly developed by us, Huazhong Agricultural University and other institutions. On March 24, 2025, the Ministry announced (No. 892) the approval of another Category I New Veterinary Drug — a Pentavalent Inactivated Vaccine for poultry diseases including Newcastle Disease, Infectious Bronchitis, Avian Influenza (H9), Infectious Bursal Disease, and Avian Adenovirus (Group I, Serotype 4), which was jointly developed by us, Pulike and other institutions. As of December 31, 2025, the operating entity has paid RMB5,708,601, RMB7,352,204, RMB500,000, RMB4,300,000 and RMB6,951,220, to Shanghai Veterinary Research Institute, Harbin Veterinary Research Institute, Jilin University, China Agricultural University, and Nanjing Agricultural University, respectively.</w:t>
      </w:r>
    </w:p>
    <w:p>
      <w:pPr>
        <w:spacing w:after="0" w:line="185"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distribution channels. </w:t>
      </w:r>
      <w:r>
        <w:rPr>
          <w:rFonts w:ascii="Times New Roman" w:cs="Times New Roman" w:eastAsia="Times New Roman" w:hAnsi="Times New Roman"/>
          <w:sz w:val="18"/>
          <w:szCs w:val="18"/>
          <w:color w:val="auto"/>
        </w:rPr>
        <w:t>The operating entity maintains a wide distribution network which allows it to sell its products both domestically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internationally. For the fiscal years ended December 31, 2025, 2024 and 2023, it had approximately 121, 133 and 127 domestic distributors, and 3, 3 and 2 exporting distributors, respectively. With the help of the domestic distributors, the Company through its operating entities is able to sell its products in 29 provincial level administrative regions of China. Through the exporting distributors, the operating entity sells its products in foreign countries, including Vietnam, Pakistan, and Egypt.</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51" w:name="page52"/>
    <w:bookmarkEnd w:id="51"/>
    <w:p>
      <w:pPr>
        <w:jc w:val="both"/>
        <w:ind w:left="660" w:hanging="328"/>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employees. </w:t>
      </w:r>
      <w:r>
        <w:rPr>
          <w:rFonts w:ascii="Times New Roman" w:cs="Times New Roman" w:eastAsia="Times New Roman" w:hAnsi="Times New Roman"/>
          <w:sz w:val="18"/>
          <w:szCs w:val="18"/>
          <w:color w:val="auto"/>
        </w:rPr>
        <w:t>The operating entity has an experienced management team. Multiple officers have animal disease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and prevention and managerial experience in the animal product industry. For example, the chief manager of the operating entity, Songlin Song, graduated from China Agricultural University, and vice manager Wei Lian graduated from Jilin Agricultural University. Moreover, Songlin Song is an advisor of the master programs in Jilin University College of Veterinary Medicine, Chinese Academy of Agricultural Sciences, and a guest professor of at Jilin Medical University. Wei Lian is an advisor of the master programs in Jilin University College of Veterinary Medicine and Chinese Academy of Agricultural Sciences. In addition to their academic background, the management team also has a deep understanding of both the industry and the operating entity. Wei Lian started his career in the operating entity in 2005. He used to serve as the manager of the department of quality control and assistant general manager, and he has been the deputy general manager of the operating entity since 2021. Songlin Song has worked in the industry since 1998 and he has been the director and general manager of the operating entity since 2018. There are 31 employees holding master or doctoral degrees in majors including veterinary medicine, veterinary pharmacy, veterinary public health, microbiology, animal husbandry, and pharmaceutical engineering.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develop our business and strengthen brand loyalty by implementing the following strategies:</w:t>
      </w:r>
    </w:p>
    <w:p>
      <w:pPr>
        <w:spacing w:after="0" w:line="221" w:lineRule="exact"/>
        <w:rPr>
          <w:sz w:val="20"/>
          <w:szCs w:val="20"/>
          <w:color w:val="auto"/>
        </w:rPr>
      </w:pPr>
    </w:p>
    <w:p>
      <w:pPr>
        <w:jc w:val="both"/>
        <w:ind w:left="660" w:hanging="328"/>
        <w:spacing w:after="0" w:line="25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high-demand products and expand the operating entity’s business by entering into household animals vaccines industry.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entity intends to develop high-demand products. For the fiscal year ended December 31, 2025, the operating entity made the following progress in the development of high-demand products: (i) the operating entity obtained a Registration Certificate of New Veterinary Drugs for the Mycoplasma Bovis Live Vaccine (HB150 strain) on February 25, 2025, and received a production approval number on July 23, 2025; (ii) the operating entity obtained a Registration Certificate of New Veterinary Drugs for the Pentavalent Inactivated Vaccine for Chickens against Newcastle Disease, Infectious Bronchitis, Avian Influenza (H9 subtype), Infectious Bursal Disease, and Avian Adenovirus Disease (Group I, serotype 4) (N7a strain + M41 strain + HF strain + rVP2 protein + Fiber-2 protein) on March 21, 2025, and received a production approval number on November 14, 2025; (iii) the operating entity obtained a Registration Certificate of New Veterinary Drugs for the Combined Heat-resistant Protective Agent Live Vaccine against Newcastle Disease and Infectious Bronchitis (LaSota strain + SZ160 strain) on July 16, 2025, and expects to receive a production approval number in the second quarter of 2026; (iv) the Porcine Circovirus Type 2 Baculovirus Vector and Mycoplasma pneumoniae Combined Inactivated Vaccine (ZSTU01 strain + MH03 strain) developed by the operating entity passed the new veterinary drug registration test on September 28, 2025, and the operating entity expects to obtain a Registration Certificate of New Veterinary Drugs in the second quarter of 2026; and (v) the Trivalent Inactivated Vaccine for Chickens against Newcastle Disease, Avian Influenza (H9 subtype), and Avian Adenovirus Disease (Group I, serotype 4) (aSG10 strain + G strain + Fiber-2 protein) passed the new veterinary drug registration test on February 11, 2026, and the operating entity expects to obtain a Registration Certificate of New Veterinary Drugs in the fourth quarter of 2026. In addition to develop products in great demand, the operating entity also intends to expand its business by developing and manufacturing vaccines for companion animals. As of the date of this annual report, the operating entity is currently conducting the new veterinary drug registration processes for Feline Panleukopenia, FCV, Feline Viral Rhinotracheitis Triple Inactivated Vaccine, which is used to prevent the three most common infectious diseases in cats caused by feline panleukopenia, FCV, and feline viral rhinotracheitis, and Canine Distemper-Parvovirus Vaccine, Inactivated, which is used to prevent canine distemper and parvovirus. In addition, the operating entity’s application for Registration Certificate of New Veterinary Drugs for Feline Panleukopenia, FCV, Feline Viral Rhinotracheitis Triple Inactivated Vaccine has been received by the Ministry of Agriculture and Rural Affairs of the PRC on August 9, 2023, and the operating entity expects to obtain the certificate in the fourth quarter of 2026. The operating entity also intends to develop a GnRH immunocontraceptive vaccine for pet dogs and cats, with the aim of addressing concerns that traditional surgical sterilization may deprive pets of a complete life experience. As of the date of this annual report, with regard to the vaccines described in this paragraph, clinical trials for all vaccines are completed except for the GnRH immunocontraceptive vaccine which has not yet undergone a clinical trial.</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operating entity’s sales and distribution network. </w:t>
      </w:r>
      <w:r>
        <w:rPr>
          <w:rFonts w:ascii="Times New Roman" w:cs="Times New Roman" w:eastAsia="Times New Roman" w:hAnsi="Times New Roman"/>
          <w:sz w:val="18"/>
          <w:szCs w:val="18"/>
          <w:color w:val="auto"/>
        </w:rPr>
        <w:t>The operating entity intends to expand its sales and distribution network to 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geographic markets. The operating entity has expanded its business in Egypt, Pakistan, and Vietnam, and is planning to expand into overseas markets such as Africa, Central Asia, and West Asia. In the domestic market, a new subsidiary, Beijing Zhongnong Zhengye Biotechnology Co., Ltd., was established, with the aim of integrating sales, technical services, and marketing functions.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left="660" w:hanging="328"/>
        <w:spacing w:after="0" w:line="26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the operating entity’s ability to attract, incentivize and retain talented professionals. </w:t>
      </w:r>
      <w:r>
        <w:rPr>
          <w:rFonts w:ascii="Times New Roman" w:cs="Times New Roman" w:eastAsia="Times New Roman" w:hAnsi="Times New Roman"/>
          <w:sz w:val="18"/>
          <w:szCs w:val="18"/>
          <w:color w:val="auto"/>
        </w:rPr>
        <w:t>The operating entity believes its success greatly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on its ability to attract, incentivize and retain talented professionals. With a view to maintaining and improving its competitive advantage in the market, it plans to implement a series of initiatives to attract additional and retain mid- to high-level personnel, including formulating a market-oriented employee compensation structure and implementing a standardized multilevel performance review mechanism.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Merger and Acquisition Strategy: </w:t>
      </w:r>
      <w:r>
        <w:rPr>
          <w:rFonts w:ascii="Times New Roman" w:cs="Times New Roman" w:eastAsia="Times New Roman" w:hAnsi="Times New Roman"/>
          <w:sz w:val="18"/>
          <w:szCs w:val="18"/>
          <w:color w:val="auto"/>
        </w:rPr>
        <w:t>We plan to advance our merger and acquisition initiatives in 2026, with a strategic focus on the pet sector.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that, supported by favorable industry dynamics and the growing demand for animal health solutions, this segment represents an attractive and structurally resilient area for growth. We aim to leverage mergers and acquisitions as a strategic tool to expand our product portfolio, strengthen core capabilities, and accelerate our development in the pet market, while ensuring alignment with our overall strategic direction and operational strengths. As of the date of this annual report, we have not identified any targets for mergers or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Revenue Model</w:t>
      </w:r>
    </w:p>
    <w:p>
      <w:pPr>
        <w:spacing w:after="0" w:line="2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operating entity generates revenue through manufacturing and sales of veterinary vaccines under its own brand. For the fiscal years ended December 31, 2025, 2024, and 2023, we recognized RMB116.4 million (US$16.6 million), RMB186.4 million, and RMB211.7 million in revenue, respectively.</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sells veterinary vaccines, both domestically and internationally. For the fiscal years ended December 31, 2025, 2024, and 2023, revenue of domestic sales was RMB113.2 million (US$16.1 million), RMB183.3 million, and RMB210.0 million, accounting for 97.3%, 98.3%, and 99.2%, respectively, of our revenue, and revenue of international sales was RMB3.2 million (US$0.5 million), RMB3.1 million, and RMB1.7 million, accounting for 2.7%, 1.7%, and 0.8%, respectively, of our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the operating entity has a total of 50 veterinary vaccines in its product portfolio, 50 of which are sold domestically and eight of which are sold internationally. Newcastle Disease Virus (La Sota strain), and Avian influenza virus (H9 subtype HL strain) Vaccine, Inactivated are currently sold in Pakistan and Vietnam; Newcastle Disease Vaccine, Live (La Sota strain) is currently sold in Egypt and Vietnam; Newcastle Disease Vaccine, Live (Strain Clone 30) is currently sold in Egypt; Newcastle Disease Vaccine, Inactivated is currently sold in Egypt, Pakistan and Vietnam; Infectious Bursal Disease Vaccine, Live (Strain B87) is currently sold in Vietnam; Bivalent Live Vaccine for Newcastle Disease and Infectious Bronchitis in Chickens (La Sota Strain+H120 Strain) are currently sold in Vietnam and Pakistan; Newcastle Disease, Infectious Bronchitis and Avian Influenza (H9 Subtype) Vaccine, Inactivated (Strain La Sota+Strain M41+Strain SY) are currently sold in Vietnam, and Avian Pox Vaccine, Live (Quail-Adapted Strain) is currently sold in Vietnam.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50 products and their indications as of the date of this annual report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Species</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r>
      <w:tr>
        <w:trPr>
          <w:trHeight w:val="198"/>
        </w:trPr>
        <w:tc>
          <w:tcPr>
            <w:tcW w:w="1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12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Bivalent Inactivated Vaccine for Haemophilus parasuis</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Protect against actinobacillus pleuropneumonia</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(Serotype 4 JS Strain + Serotype 5 ZJ Strain)</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Subunit Vaccine of Porcine Circovirus Type 2</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diseases caused by porcine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(Recombinant Baculovirus Strain OKM)</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circovirus-2 infection</w:t>
            </w:r>
          </w:p>
        </w:tc>
        <w:tc>
          <w:tcPr>
            <w:tcW w:w="1460" w:type="dxa"/>
            <w:vAlign w:val="bottom"/>
          </w:tcPr>
          <w:p>
            <w:pPr>
              <w:spacing w:after="0"/>
              <w:rPr>
                <w:sz w:val="20"/>
                <w:szCs w:val="20"/>
                <w:color w:val="auto"/>
              </w:rPr>
            </w:pPr>
          </w:p>
        </w:tc>
      </w:tr>
      <w:tr>
        <w:trPr>
          <w:trHeight w:val="162"/>
        </w:trPr>
        <w:tc>
          <w:tcPr>
            <w:tcW w:w="19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8"/>
                <w:szCs w:val="18"/>
                <w:color w:val="auto"/>
                <w:w w:val="99"/>
              </w:rPr>
              <w:t>Swine Pseudorabies Vaccine, Inactivated (Strain JS-</w:t>
            </w:r>
          </w:p>
        </w:tc>
        <w:tc>
          <w:tcPr>
            <w:tcW w:w="370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8"/>
                <w:szCs w:val="18"/>
                <w:color w:val="auto"/>
              </w:rPr>
              <w:t>Protect against porcine pseudorabies</w:t>
            </w: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6"/>
              </w:rPr>
              <w:t>N/A</w:t>
            </w: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140" w:type="dxa"/>
            <w:vAlign w:val="bottom"/>
            <w:gridSpan w:val="2"/>
            <w:shd w:val="clear" w:color="auto" w:fill="CCEEFF"/>
          </w:tcPr>
          <w:p>
            <w:pPr>
              <w:jc w:val="center"/>
              <w:ind w:right="120"/>
              <w:spacing w:after="0" w:line="207" w:lineRule="exact"/>
              <w:rPr>
                <w:sz w:val="20"/>
                <w:szCs w:val="20"/>
                <w:color w:val="auto"/>
              </w:rPr>
            </w:pPr>
            <w:r>
              <w:rPr>
                <w:rFonts w:ascii="Times New Roman" w:cs="Times New Roman" w:eastAsia="Times New Roman" w:hAnsi="Times New Roman"/>
                <w:sz w:val="18"/>
                <w:szCs w:val="18"/>
                <w:color w:val="auto"/>
                <w:w w:val="96"/>
              </w:rPr>
              <w:t>2012-</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gI/gE)</w:t>
            </w:r>
          </w:p>
        </w:tc>
        <w:tc>
          <w:tcPr>
            <w:tcW w:w="3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Transmissible Gastroenteritis and Porcine Epidemic</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porcine transmissible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Diarrhea Vaccine, Inactivated</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gastroenteritis and porcine epidemic diarrhea.</w:t>
            </w:r>
          </w:p>
        </w:tc>
        <w:tc>
          <w:tcPr>
            <w:tcW w:w="14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Mainly used to vaccinate pregnant sows for the</w:t>
            </w:r>
          </w:p>
        </w:tc>
        <w:tc>
          <w:tcPr>
            <w:tcW w:w="14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piglets getting passive immunity, and to protect</w:t>
            </w:r>
          </w:p>
        </w:tc>
        <w:tc>
          <w:tcPr>
            <w:tcW w:w="14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pigs of different ages by active immunity</w:t>
            </w: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Clostridium Perfringens Bivalent Vaccine for Piglets,</w:t>
            </w:r>
          </w:p>
        </w:tc>
        <w:tc>
          <w:tcPr>
            <w:tcW w:w="37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enterotoxemia in piglets caused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Inactivated (Type A and C)</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by Clostridium Perfringens type A and C</w:t>
            </w:r>
          </w:p>
        </w:tc>
        <w:tc>
          <w:tcPr>
            <w:tcW w:w="1460" w:type="dxa"/>
            <w:vAlign w:val="bottom"/>
            <w:shd w:val="clear" w:color="auto" w:fill="CCEEFF"/>
          </w:tcPr>
          <w:p>
            <w:pPr>
              <w:spacing w:after="0"/>
              <w:rPr>
                <w:sz w:val="20"/>
                <w:szCs w:val="20"/>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Swine Erysipelas Vaccine, Live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swine erysipelas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Swine Fever Thermo-Stable Vaccine, Live (Tissue</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swine fever</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Origin)</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Swine Pasteurella Multocida Vaccine, Live (679-230</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porcine pasteurella multocida</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strain)</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disease (i.e., swine plague)</w:t>
            </w:r>
          </w:p>
        </w:tc>
        <w:tc>
          <w:tcPr>
            <w:tcW w:w="1460" w:type="dxa"/>
            <w:vAlign w:val="bottom"/>
          </w:tcPr>
          <w:p>
            <w:pPr>
              <w:spacing w:after="0"/>
              <w:rPr>
                <w:sz w:val="20"/>
                <w:szCs w:val="20"/>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Paratyphus Vaccine for Piglets, Live</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paratyphoid in piglets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Swine Parvovirus Disease Vaccine, Inactivated (CP-99</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porcine parvovirus disease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Strain)</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Porcine Cirovirus Type 2 Vaccine, Inactivated (Strain</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diseases caused by porcine</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SH)</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circovirus-2 infection</w:t>
            </w: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Swine Transmissible Gastroenteritis, Porcine Epidemic</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diarrhea in pigs caused by porcine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Diarrhea and Porcine Rotavirus (G5 type) Vaccine,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transmissible gastroenteritis virus, porcine</w:t>
            </w:r>
          </w:p>
        </w:tc>
        <w:tc>
          <w:tcPr>
            <w:tcW w:w="14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Live (Strain huadu+Strain CV777+Strain NX)</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epidemic diarrhea virus and porcine rotavirus</w:t>
            </w:r>
          </w:p>
        </w:tc>
        <w:tc>
          <w:tcPr>
            <w:tcW w:w="14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(G5) infection</w:t>
            </w: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Classical Swine Fever Vaccine, Live (Tissue Culture</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swine fever</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Origin)</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Swine Fever Vaccine, only for Government</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swine fever</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Procurement, Live (Tissue Culture Origin)</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Highly Pathogenic Porcine Reproductive and</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highly pathogenic porcine</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Respiratory Syndrome Vaccine, Live (Strain HuN4-</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reproductive and respiratory syndrome (i.e.</w:t>
            </w:r>
          </w:p>
        </w:tc>
        <w:tc>
          <w:tcPr>
            <w:tcW w:w="146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F112)</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highly pathogenic porcine blue ear disease)</w:t>
            </w: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Mycoplasma Hyopneumoniae Vaccine, Live (Strain</w:t>
            </w:r>
          </w:p>
        </w:tc>
        <w:tc>
          <w:tcPr>
            <w:tcW w:w="3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porcine mycoplasmal pneumonia</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RM48)</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(i.e., porcine panting disease)</w:t>
            </w:r>
          </w:p>
        </w:tc>
        <w:tc>
          <w:tcPr>
            <w:tcW w:w="1460" w:type="dxa"/>
            <w:vAlign w:val="bottom"/>
          </w:tcPr>
          <w:p>
            <w:pPr>
              <w:spacing w:after="0"/>
              <w:rPr>
                <w:sz w:val="20"/>
                <w:szCs w:val="20"/>
                <w:color w:val="auto"/>
              </w:rPr>
            </w:pPr>
          </w:p>
        </w:tc>
      </w:tr>
      <w:tr>
        <w:trPr>
          <w:trHeight w:val="655"/>
        </w:trPr>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International</w:t>
            </w: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Species</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r>
      <w:tr>
        <w:trPr>
          <w:trHeight w:val="198"/>
        </w:trPr>
        <w:tc>
          <w:tcPr>
            <w:tcW w:w="1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 Bovine, and</w:t>
            </w:r>
          </w:p>
        </w:tc>
        <w:tc>
          <w:tcPr>
            <w:tcW w:w="12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Pseudorabies Vaccine, Live</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Protect against pseudorabies in pigs, cattle and</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Ovine</w:t>
            </w: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sheep</w:t>
            </w: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Newcastle disease virus (La Sota strain), and Avian</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Newcastle disease and H9</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Pakistan, Vietnam</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influenza virus (H9 subtype HL strain) Vaccine,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subtype avian influenza in chickens</w:t>
            </w:r>
          </w:p>
        </w:tc>
        <w:tc>
          <w:tcPr>
            <w:tcW w:w="14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Inactivated</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Avian influenza virus (H9 subtype SY strain) vaccine,</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avian influenza caused by H9</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Inactivated</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subtype avian influenza virus</w:t>
            </w:r>
          </w:p>
        </w:tc>
        <w:tc>
          <w:tcPr>
            <w:tcW w:w="1460" w:type="dxa"/>
            <w:vAlign w:val="bottom"/>
            <w:shd w:val="clear" w:color="auto" w:fill="CCEEFF"/>
          </w:tcPr>
          <w:p>
            <w:pPr>
              <w:spacing w:after="0"/>
              <w:rPr>
                <w:sz w:val="20"/>
                <w:szCs w:val="20"/>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Newcastle Disease Vaccine, Live (La Sota strain)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Newcastle disease in chickens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Egypt, Vietnam</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Newcastle Disease Vaccine, Live (CS2 strain)</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Newcastle disease in chickens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Newcastle Disease Vaccine, Live (Strain Clone 30)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Newcastle disease in chickens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Newcastle Disease Vaccine, Inactivated</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in chickens</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Egypt, Pakistan,</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Vietnam</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Combined Newcastle Disease and Infectious Bronchitis</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and infectious</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Vaccine, Live (Strain La Sota + Strain H52)</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bronchitis in chickens</w:t>
            </w: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Newcastle Disease, Infectious Bronchitis and Egg Drop</w:t>
            </w:r>
          </w:p>
        </w:tc>
        <w:tc>
          <w:tcPr>
            <w:tcW w:w="37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infectious</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Syndrome Vaccine, Inactivated (Strain</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bronchitis and egg drop syndrome in chickens</w:t>
            </w:r>
          </w:p>
        </w:tc>
        <w:tc>
          <w:tcPr>
            <w:tcW w:w="146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Clone30+StrainM41+StrainAV127)</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Combined Newcastle Disease and Infectious Bronchitis</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and infectious</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Pakistan, Vietnam</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Vaccine, Live (Strain La Sota + Strain H120)</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bronchitis in chickens</w:t>
            </w: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Infectious Coryza (Serotype A) Vaccine, Inactivated</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infectious coryza in chickens</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caused by type A Avibacterium paragallinarum</w:t>
            </w: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Infectious Bursal Disease Vaccine, Live (Strain B87)</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infectious bursal disease in</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Vietnam</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chickens</w:t>
            </w:r>
          </w:p>
        </w:tc>
        <w:tc>
          <w:tcPr>
            <w:tcW w:w="1460" w:type="dxa"/>
            <w:vAlign w:val="bottom"/>
          </w:tcPr>
          <w:p>
            <w:pPr>
              <w:spacing w:after="0"/>
              <w:rPr>
                <w:sz w:val="20"/>
                <w:szCs w:val="20"/>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Reassortant Newcastle Disease Virus and Avian</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and avian</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Influenza Virus (H9 Subtype) Vaccine, Inactivated</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influenza caused by the H9 subtype of avian</w:t>
            </w:r>
          </w:p>
        </w:tc>
        <w:tc>
          <w:tcPr>
            <w:tcW w:w="146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(Strain aSG10+ Strain G)</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influenza virus in chickens</w:t>
            </w:r>
          </w:p>
        </w:tc>
        <w:tc>
          <w:tcPr>
            <w:tcW w:w="1460" w:type="dxa"/>
            <w:vAlign w:val="bottom"/>
            <w:shd w:val="clear" w:color="auto" w:fill="CCEEFF"/>
          </w:tcPr>
          <w:p>
            <w:pPr>
              <w:spacing w:after="0"/>
              <w:rPr>
                <w:sz w:val="20"/>
                <w:szCs w:val="20"/>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Avian Pox Vaccine, Live (Quail-Adapted Strain)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Protect against chicken pox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Vietnam</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Mycoplasma Gallisepticum Vaccine, Live</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chronic respiratory tract disorder</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caused by Mycoplasma gallisepticum</w:t>
            </w:r>
          </w:p>
        </w:tc>
        <w:tc>
          <w:tcPr>
            <w:tcW w:w="146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Avian Pasteurella Multocida Vaccine, Live (Strain</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Protect against Pasteurella multocida disease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G190E40)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(i.e., fowl cholera) in chickens, ducks and geese</w:t>
            </w:r>
          </w:p>
        </w:tc>
        <w:tc>
          <w:tcPr>
            <w:tcW w:w="14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 3 months of age</w:t>
            </w:r>
          </w:p>
        </w:tc>
        <w:tc>
          <w:tcPr>
            <w:tcW w:w="1460" w:type="dxa"/>
            <w:vAlign w:val="bottom"/>
          </w:tcPr>
          <w:p>
            <w:pPr>
              <w:spacing w:after="0"/>
              <w:rPr>
                <w:sz w:val="20"/>
                <w:szCs w:val="20"/>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Duck Plague Vaccine, Live</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Protect against duck plague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Newcastle Disease, Infectious Bronchitis, Egg Drop</w:t>
            </w:r>
          </w:p>
        </w:tc>
        <w:tc>
          <w:tcPr>
            <w:tcW w:w="3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infectious</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Syndrome and Avian Influenza (H9 Subtype) Vaccine,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bronchitis, egg drop syndrome and H9 subtype</w:t>
            </w:r>
          </w:p>
        </w:tc>
        <w:tc>
          <w:tcPr>
            <w:tcW w:w="14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Inactivated (Strain La Sota+Strain M41+Strain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avian influenza in chickens</w:t>
            </w:r>
          </w:p>
        </w:tc>
        <w:tc>
          <w:tcPr>
            <w:tcW w:w="14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HE02+Strain HN106)</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55"/>
        </w:trPr>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0" w:type="dxa"/>
            <w:vAlign w:val="bottom"/>
          </w:tcPr>
          <w:p>
            <w:pPr>
              <w:spacing w:after="0"/>
              <w:rPr>
                <w:sz w:val="1"/>
                <w:szCs w:val="1"/>
                <w:color w:val="auto"/>
              </w:rPr>
            </w:pP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Species</w:t>
            </w:r>
          </w:p>
        </w:tc>
        <w:tc>
          <w:tcPr>
            <w:tcW w:w="4140" w:type="dxa"/>
            <w:vAlign w:val="bottom"/>
            <w:gridSpan w:val="2"/>
            <w:vMerge w:val="continue"/>
          </w:tcPr>
          <w:p>
            <w:pPr>
              <w:spacing w:after="0"/>
              <w:rPr>
                <w:sz w:val="21"/>
                <w:szCs w:val="21"/>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0" w:type="dxa"/>
            <w:vAlign w:val="bottom"/>
          </w:tcPr>
          <w:p>
            <w:pPr>
              <w:spacing w:after="0"/>
              <w:rPr>
                <w:sz w:val="1"/>
                <w:szCs w:val="1"/>
                <w:color w:val="auto"/>
              </w:rPr>
            </w:pPr>
          </w:p>
        </w:tc>
      </w:tr>
      <w:tr>
        <w:trPr>
          <w:trHeight w:val="198"/>
        </w:trPr>
        <w:tc>
          <w:tcPr>
            <w:tcW w:w="1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12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Newcastle Disease, Infectious Bronchitis and Avian</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Protect against Newcastle disease, infectious</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Vietnam</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Influenza (H9 Subtype) Vaccine, Inactivated (Strain La</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bronchitis and H9 subtype avian influenza in</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Sota+Strain M41+Strain SY)</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chickens</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Duck Tembusu Viral Disease Vaccine, Live (Strain</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duck Tembusu virus disease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FX2010-180P)</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Infectious Coryza Vaccine (Serotype A+Serotype B+</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infectious coryza in chickens</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Serotype C), Inactivated</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caused by serotypes A, B, and C of Avibacterium</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paragallinarum</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Ovine Braxy, Struck, Lamb Dysentery, Enterotoxaemia,</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braxy, struck, lamb dysentery and</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Vaccine, Inactivated (Dried Powder)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enterotoxemia in sheep</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Caprine Infectious Pleuropneumonia Vaccine,</w:t>
            </w:r>
          </w:p>
        </w:tc>
        <w:tc>
          <w:tcPr>
            <w:tcW w:w="37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contagious pleuropneumonia in</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Inactivated</w:t>
            </w:r>
          </w:p>
        </w:tc>
        <w:tc>
          <w:tcPr>
            <w:tcW w:w="3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goats</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Goat Pox Vaccine, Live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Protect against goat and sheep pox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Bovine Pasteurella Multocida Vaccine, Inactivated</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Protect against bovine Pasteurella multocida</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disease (i.e., bovine hemorrhagic septicemia)</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Ovine Braxy, Struck, Lamb Dysentery, Enterotoxaemia,</w:t>
            </w:r>
          </w:p>
        </w:tc>
        <w:tc>
          <w:tcPr>
            <w:tcW w:w="3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Protect against braxy, pulpy kidney, lamb</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Black Disease, Clostridium botulinum (Type C)</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dysentery, enterotoxaemia, blackleg, and Type C</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Toxonosis Vaccine, Inactivated (Dried Powder)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botulism in sheep</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Canine</w:t>
            </w: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Rabies Vaccine, Inactivated (Strain Flury LEP)</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Protect against rabies in dogs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Duck plague live vaccine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Protect against duck plague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Horse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Live Attenuated Salmonella Abortus Equi Vaccine</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Prevention of equine abortion caused by</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(C355 strain)</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Salmonella abortus equi infection</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Inactivated Vaccine against Ovine Septicemic</w:t>
            </w:r>
          </w:p>
        </w:tc>
        <w:tc>
          <w:tcPr>
            <w:tcW w:w="3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Prevention of ovine septicemic streptococcosis</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Streptococcosis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Swine</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Inactivated Vaccine against Porcine Mycoplasmal</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Prevention of porcine mycoplasmal pneumonia</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Pneumonia (HN0613 strain)</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caused by Mycoplasma hyopneumoniae</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Bovine and Ovine</w:t>
            </w:r>
          </w:p>
        </w:tc>
        <w:tc>
          <w:tcPr>
            <w:tcW w:w="4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Live Vaccine against Bovine Mycoplasma (HB150</w:t>
            </w:r>
          </w:p>
        </w:tc>
        <w:tc>
          <w:tcPr>
            <w:tcW w:w="3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Prevention of respiratory diseases caused by</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strain)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bovine mycoplasma infection</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Live Vaccine against Avian Infectious Bronchitis (H120</w:t>
            </w:r>
          </w:p>
        </w:tc>
        <w:tc>
          <w:tcPr>
            <w:tcW w:w="37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Prevention of avian infectious bronchitis</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strain)</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Poultry</w:t>
            </w:r>
          </w:p>
        </w:tc>
        <w:tc>
          <w:tcPr>
            <w:tcW w:w="4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Pentavalent Inactivated Vaccine against Newcastle</w:t>
            </w:r>
          </w:p>
        </w:tc>
        <w:tc>
          <w:tcPr>
            <w:tcW w:w="3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Prevention of five diseases, including Newcastle</w:t>
            </w: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Disease, Infectious Bronchitis, Avian Influenza (H9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Disease and Avian Infectious Bronchitis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subtype), Infectious Bursal Disease, and Avian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Adenovirus Disease (Group I, serotype 4) (N7a strain +</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M41 strain + HF strain + rVP2 protein + Fiber-2</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protein)</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focus on livestock vaccines, the operating entity is also preparing to enter into the market of household animal vaccines. The operating entity has received an Approval Number for Veterinary Biological Products for its Rabies Vaccine, Inactivated (Strain Flury LEP) on April 13, 2020. This vaccine is currently production-ready, and the operating entity plans to launch it to the market alongside other pet-related products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Besides, it has completed clinical trials for Feline Panleukopenia, FCV, Feline Viral Rhinotracheitis Triple Inactivated Vaccine and its application for a Registration Certificate of New Veterinary Drugs for this vaccine has been received by the Ministry of Agriculture and Rural Affairs of the PRC on August 9, 2023, and the application materials have been submitted to the Ministry of Agriculture and Rural Affairs Veterinary Drug Evaluation Center (“Evaluation Center”). The vaccine is currently undergoing a technical review at the Evaluation Center, which will be completed within 120 working days after the Evaluation Center’s receipt of the application materials. As of the date of this annual report, the operating entity has submitted a response to the quality standard confirmation letter to the Evaluation Center, and expects to obtain the Registration Certificate of New Veterinary Drugs in the fourth quarter of 2026. The operating entity has completed clinical trials for Feline Infectious Rhinotracheitis, Infectious Rhinoconjunctivitis and Panleukopenia Triple Vaccine, Inactivated in October 2023; it submitted an application in April 2024 and the operating entity resubmitted the application for new veterinary drug registration with supplementary materials based on the initial comments in August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for the Company’s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 has received a broad range of regulatory approvals for its products. The following chart sets forth a summary of the licenses and permissions obtained by the operating entity as of the date of this annual report:</w:t>
      </w:r>
    </w:p>
    <w:p>
      <w:pPr>
        <w:sectPr>
          <w:pgSz w:w="11900" w:h="16838" w:orient="portrait"/>
          <w:cols w:equalWidth="0" w:num="1">
            <w:col w:w="11240"/>
          </w:cols>
          <w:pgMar w:left="320" w:top="877"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License/Permission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Good Manufacturing</w:t>
      </w:r>
    </w:p>
    <w:p>
      <w:pPr>
        <w:spacing w:after="0" w:line="27" w:lineRule="exact"/>
        <w:rPr>
          <w:sz w:val="20"/>
          <w:szCs w:val="20"/>
          <w:color w:val="auto"/>
        </w:rPr>
      </w:pPr>
    </w:p>
    <w:p>
      <w:pPr>
        <w:ind w:left="180" w:right="100"/>
        <w:spacing w:after="0" w:line="209" w:lineRule="auto"/>
        <w:rPr>
          <w:sz w:val="20"/>
          <w:szCs w:val="20"/>
          <w:color w:val="auto"/>
        </w:rPr>
      </w:pPr>
      <w:r>
        <w:rPr>
          <w:rFonts w:ascii="Times New Roman" w:cs="Times New Roman" w:eastAsia="Times New Roman" w:hAnsi="Times New Roman"/>
          <w:sz w:val="18"/>
          <w:szCs w:val="18"/>
          <w:color w:val="auto"/>
        </w:rPr>
        <w:t>Practices for Animal Drugs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(2022) No. 07022</w:t>
      </w:r>
    </w:p>
    <w:p>
      <w:pPr>
        <w:spacing w:after="0" w:line="2" w:lineRule="exact"/>
        <w:rPr>
          <w:sz w:val="20"/>
          <w:szCs w:val="20"/>
          <w:color w:val="auto"/>
        </w:rPr>
      </w:pPr>
    </w:p>
    <w:p>
      <w:pPr>
        <w:ind w:left="180" w:right="240" w:hanging="161"/>
        <w:spacing w:after="0" w:line="209" w:lineRule="auto"/>
        <w:rPr>
          <w:sz w:val="20"/>
          <w:szCs w:val="20"/>
          <w:color w:val="auto"/>
        </w:rPr>
      </w:pPr>
      <w:r>
        <w:rPr>
          <w:rFonts w:ascii="Times New Roman" w:cs="Times New Roman" w:eastAsia="Times New Roman" w:hAnsi="Times New Roman"/>
          <w:sz w:val="18"/>
          <w:szCs w:val="18"/>
          <w:color w:val="auto"/>
        </w:rPr>
        <w:t>Veterinary Drug Production Permit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(2022) No. 07022</w:t>
      </w:r>
    </w:p>
    <w:p>
      <w:pPr>
        <w:spacing w:after="0" w:line="2" w:lineRule="exact"/>
        <w:rPr>
          <w:sz w:val="20"/>
          <w:szCs w:val="20"/>
          <w:color w:val="auto"/>
        </w:rPr>
      </w:pPr>
    </w:p>
    <w:p>
      <w:pPr>
        <w:ind w:left="180" w:right="300" w:hanging="161"/>
        <w:spacing w:after="0" w:line="209" w:lineRule="auto"/>
        <w:rPr>
          <w:sz w:val="20"/>
          <w:szCs w:val="20"/>
          <w:color w:val="auto"/>
        </w:rPr>
      </w:pPr>
      <w:r>
        <w:rPr>
          <w:rFonts w:ascii="Times New Roman" w:cs="Times New Roman" w:eastAsia="Times New Roman" w:hAnsi="Times New Roman"/>
          <w:sz w:val="18"/>
          <w:szCs w:val="18"/>
          <w:color w:val="auto"/>
        </w:rPr>
        <w:t>Veterinary Drug Operation Permit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(2020) No. 07000099</w:t>
      </w:r>
    </w:p>
    <w:p>
      <w:pPr>
        <w:spacing w:after="0" w:line="2" w:lineRule="exact"/>
        <w:rPr>
          <w:sz w:val="20"/>
          <w:szCs w:val="20"/>
          <w:color w:val="auto"/>
        </w:rPr>
      </w:pPr>
    </w:p>
    <w:p>
      <w:pPr>
        <w:ind w:left="180" w:hanging="161"/>
        <w:spacing w:after="0" w:line="209" w:lineRule="auto"/>
        <w:rPr>
          <w:sz w:val="20"/>
          <w:szCs w:val="20"/>
          <w:color w:val="auto"/>
        </w:rPr>
      </w:pPr>
      <w:r>
        <w:rPr>
          <w:rFonts w:ascii="Times New Roman" w:cs="Times New Roman" w:eastAsia="Times New Roman" w:hAnsi="Times New Roman"/>
          <w:sz w:val="18"/>
          <w:szCs w:val="18"/>
          <w:color w:val="auto"/>
        </w:rPr>
        <w:t>Use License of Experimental Animals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SYXK 2021-0009</w:t>
      </w:r>
    </w:p>
    <w:p>
      <w:pPr>
        <w:spacing w:after="0" w:line="159" w:lineRule="exact"/>
        <w:rPr>
          <w:sz w:val="20"/>
          <w:szCs w:val="20"/>
          <w:color w:val="auto"/>
        </w:rPr>
      </w:pPr>
    </w:p>
    <w:p>
      <w:pPr>
        <w:ind w:left="180" w:right="180" w:hanging="161"/>
        <w:spacing w:after="0" w:line="282" w:lineRule="auto"/>
        <w:rPr>
          <w:sz w:val="20"/>
          <w:szCs w:val="20"/>
          <w:color w:val="auto"/>
        </w:rPr>
      </w:pPr>
      <w:r>
        <w:rPr>
          <w:rFonts w:ascii="Times New Roman" w:cs="Times New Roman" w:eastAsia="Times New Roman" w:hAnsi="Times New Roman"/>
          <w:sz w:val="18"/>
          <w:szCs w:val="18"/>
          <w:color w:val="auto"/>
        </w:rPr>
        <w:t>Use License of Experimental Animals SYXK 2021-0010</w:t>
      </w:r>
    </w:p>
    <w:p>
      <w:pPr>
        <w:spacing w:after="0" w:line="162" w:lineRule="exact"/>
        <w:rPr>
          <w:sz w:val="20"/>
          <w:szCs w:val="20"/>
          <w:color w:val="auto"/>
        </w:rPr>
      </w:pPr>
    </w:p>
    <w:p>
      <w:pPr>
        <w:ind w:left="180" w:right="100" w:hanging="161"/>
        <w:spacing w:after="0" w:line="261" w:lineRule="auto"/>
        <w:rPr>
          <w:sz w:val="20"/>
          <w:szCs w:val="20"/>
          <w:color w:val="auto"/>
        </w:rPr>
      </w:pPr>
      <w:r>
        <w:rPr>
          <w:rFonts w:ascii="Times New Roman" w:cs="Times New Roman" w:eastAsia="Times New Roman" w:hAnsi="Times New Roman"/>
          <w:sz w:val="18"/>
          <w:szCs w:val="18"/>
          <w:color w:val="auto"/>
        </w:rPr>
        <w:t>Veterinary Drug Business License (No. 07000099)</w:t>
      </w:r>
    </w:p>
    <w:p>
      <w:pPr>
        <w:ind w:left="180" w:right="300" w:hanging="161"/>
        <w:spacing w:after="0" w:line="292" w:lineRule="auto"/>
        <w:rPr>
          <w:sz w:val="20"/>
          <w:szCs w:val="20"/>
          <w:color w:val="auto"/>
        </w:rPr>
      </w:pPr>
      <w:r>
        <w:rPr>
          <w:rFonts w:ascii="Times New Roman" w:cs="Times New Roman" w:eastAsia="Times New Roman" w:hAnsi="Times New Roman"/>
          <w:sz w:val="17"/>
          <w:szCs w:val="17"/>
          <w:color w:val="auto"/>
        </w:rPr>
        <w:t>Registration Certificate of New Veterinary Drugs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(2010) No. 07</w:t>
      </w:r>
    </w:p>
    <w:p>
      <w:pPr>
        <w:ind w:left="180" w:right="480" w:hanging="161"/>
        <w:spacing w:after="0" w:line="312" w:lineRule="auto"/>
        <w:rPr>
          <w:sz w:val="20"/>
          <w:szCs w:val="20"/>
          <w:color w:val="auto"/>
        </w:rPr>
      </w:pPr>
      <w:r>
        <w:rPr>
          <w:rFonts w:ascii="Times New Roman" w:cs="Times New Roman" w:eastAsia="Times New Roman" w:hAnsi="Times New Roman"/>
          <w:sz w:val="17"/>
          <w:szCs w:val="17"/>
          <w:color w:val="auto"/>
        </w:rPr>
        <w:t>Registration Certificate of New Veterinary Drugs (2011) No. 09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Issuing Authority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Countries/Regions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Validity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Corresponding Product</w:t>
            </w:r>
          </w:p>
        </w:tc>
      </w:tr>
      <w:tr>
        <w:trPr>
          <w:trHeight w:val="198"/>
        </w:trPr>
        <w:tc>
          <w:tcPr>
            <w:tcW w:w="1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Jilin Animal Husbandry</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Jilin Province,</w:t>
            </w:r>
          </w:p>
        </w:tc>
        <w:tc>
          <w:tcPr>
            <w:tcW w:w="10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31, 2022 – May 30,</w:t>
            </w:r>
          </w:p>
        </w:tc>
        <w:tc>
          <w:tcPr>
            <w:tcW w:w="10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Bureau</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4"/>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Jilin Animal Husbandry</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31, 2022 – May 30,</w:t>
            </w:r>
          </w:p>
        </w:tc>
        <w:tc>
          <w:tcPr>
            <w:tcW w:w="2480" w:type="dxa"/>
            <w:vAlign w:val="bottom"/>
          </w:tcPr>
          <w:p>
            <w:pPr>
              <w:spacing w:after="0"/>
              <w:rPr>
                <w:sz w:val="24"/>
                <w:szCs w:val="24"/>
                <w:color w:val="auto"/>
              </w:rPr>
            </w:pPr>
          </w:p>
        </w:tc>
      </w:tr>
      <w:tr>
        <w:trPr>
          <w:trHeight w:val="234"/>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Bureau</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Jilin Animal Husbandry</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December 24, 2024 –</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Bureau</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23, 2029</w:t>
            </w:r>
          </w:p>
        </w:tc>
        <w:tc>
          <w:tcPr>
            <w:tcW w:w="2480" w:type="dxa"/>
            <w:vAlign w:val="bottom"/>
          </w:tcPr>
          <w:p>
            <w:pPr>
              <w:spacing w:after="0"/>
              <w:rPr>
                <w:sz w:val="20"/>
                <w:szCs w:val="20"/>
                <w:color w:val="auto"/>
              </w:rPr>
            </w:pPr>
          </w:p>
        </w:tc>
      </w:tr>
      <w:tr>
        <w:trPr>
          <w:trHeight w:val="23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Department of Science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21, 2021 – June 20,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Technology of Jilin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Province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Department of Science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21, 2021 – June 20,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Technology of Jilin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Province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Jilin Animal Husbandry</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December 24, 2024 –</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Bureau</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23, 2029</w:t>
            </w: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Rabies Vaccine, Inactivated</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(Strain Flury LEP)</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Highly Pathogenic Porcine</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Reproductive and Respiratory</w:t>
            </w:r>
          </w:p>
        </w:tc>
      </w:tr>
      <w:tr>
        <w:trPr>
          <w:trHeight w:val="216"/>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Syndrome Vaccine, Live (Strain</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HuN4-F112)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-2357120</wp:posOffset>
            </wp:positionV>
            <wp:extent cx="713232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-1645285</wp:posOffset>
            </wp:positionV>
            <wp:extent cx="71323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-959485</wp:posOffset>
            </wp:positionV>
            <wp:extent cx="71323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-3110865</wp:posOffset>
            </wp:positionV>
            <wp:extent cx="7132320" cy="45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220"/>
            <w:col w:w="8080"/>
          </w:cols>
          <w:pgMar w:left="320" w:top="87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License/Permission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Issuing Authority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Countries/Regions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Validity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Corresponding Product</w:t>
            </w:r>
          </w:p>
        </w:tc>
      </w:tr>
      <w:tr>
        <w:trPr>
          <w:trHeight w:val="198"/>
        </w:trPr>
        <w:tc>
          <w:tcPr>
            <w:tcW w:w="3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Newcastle Disease, Infectious</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(2013) No. 01</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Bronchitis, Egg Drop Syndrome</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Avian Influenza (H9</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Subtype) Vaccine, Inactivated</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(Strain La Sota+Strain</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M41+Strain HE02+Strain</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HN106)</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Bivalent Inactivated Vaccine</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(2013) No. 09</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against Duck Infectious Serositis</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(Type 1 SG4 Strain + Type 2</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ZZY7 Strain)</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Mycoplasma Hyopneumoniae</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(2014) No. 14</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Vaccine, Live (Strain RM48)</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Swine Transmissible</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(2014) No. 54</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Gastroenteritis, Porcine Epidemic</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Diarrhea and Porcine Rotavirus</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(G5 type) Vaccine, Live (Strain</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huadu+Strain CV777+Strain NX)</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Newcastle Disease, Infectious</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(2015) No. 39</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Bronchitis and Egg Drop</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Syndrome Vaccine, Inactivated</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(Strain Clone30+</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StrainM41+StrainAV127)</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Duck Tembusu Viral Disease</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(2018) No. 41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Vaccine, Live (Strain FX2010-</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180P)</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Reassortant Newcastle Disease</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(2019) No. 26</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Virus and Avian Influenza Virus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(H9 Subtype) Vaccine,</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Inactivated (Strain aSG10+ Strain</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Combined Live Vaccine of</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(2019) No. 35</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Newcastle Disease and Infectious</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Bronchitis (Strain LaSota+Stain</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LDT3-A)</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Subunit Vaccine of Porcine</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(2021) No. 62</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Circovirus Type 2 (Recombinant</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Baculovirus Strain OKM)</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Swine Pseudorabies Vaccine,</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(2022) No. 70</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Inactivated (Strain JS-2012-</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&amp;xutri;gI/gE)</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Subunit Vaccine of Porcine</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(2022) No. 77</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Circovirus Type 2 (E. coli–</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Derived)</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Live Vaccine for Mycoplasma</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(2025) No. 11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Bovis (Strain HB150)</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5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License/Permission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Issuing Authority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Countries/Regions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Validity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Corresponding Product</w:t>
            </w:r>
          </w:p>
        </w:tc>
      </w:tr>
      <w:tr>
        <w:trPr>
          <w:trHeight w:val="198"/>
        </w:trPr>
        <w:tc>
          <w:tcPr>
            <w:tcW w:w="3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Inactivated Pentavalent Vaccine</w:t>
            </w: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Veterinary Drugs (2025) No. 18</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 Newcastle Disease, Infectious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Bronchitis, Avian Influenza</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(Subtype H9), Infectious Bursal</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Disease, and Avian Adenovirus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Infection (Group I, Serotype 4)</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(Strains N7a + M41 + HF + rVP2</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Protein + Fiber-2 Protein)</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Registration Certificate of New</w:t>
            </w:r>
          </w:p>
        </w:tc>
        <w:tc>
          <w:tcPr>
            <w:tcW w:w="1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Ministry of Agriculture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21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Thermostable Live Bivalent</w:t>
            </w: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Veterinary Drugs (2025) No. 75</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 Rural Affairs of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Vaccine against Newcastle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Disease and Infectious Bronchitis</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 Sota strain + SZ160 strain)</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Business Certificate</w:t>
            </w:r>
          </w:p>
        </w:tc>
        <w:tc>
          <w:tcPr>
            <w:tcW w:w="19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Jilin Administration for</w:t>
            </w:r>
          </w:p>
        </w:tc>
        <w:tc>
          <w:tcPr>
            <w:tcW w:w="156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Jilin Province,</w:t>
            </w:r>
          </w:p>
        </w:tc>
        <w:tc>
          <w:tcPr>
            <w:tcW w:w="21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 Expiration Date</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 Supervision</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198" w:lineRule="exact"/>
        <w:rPr>
          <w:sz w:val="20"/>
          <w:szCs w:val="20"/>
          <w:color w:val="auto"/>
        </w:rPr>
      </w:pPr>
    </w:p>
    <w:p>
      <w:pPr>
        <w:ind w:left="300" w:hanging="292"/>
        <w:spacing w:after="0" w:line="282"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Manufacturing Practices for Animal Drugs attests that the manufacturer complies with the Veterinary Drug Production Quality Management Norms, and it is a required certificate for manufacturer to produce and market its veterinary products.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Veterinary Drug Production Permit assures the manufacturer’s ability to produce veterinary drugs.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Veterinary Drug Operation Permit allows the manufacturer to sell veterinary drugs.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Use License of Experimental Animals permits the license holder to use experimental animals to conduct experiments.</w:t>
      </w:r>
    </w:p>
    <w:p>
      <w:pPr>
        <w:spacing w:after="0" w:line="225" w:lineRule="exact"/>
        <w:rPr>
          <w:rFonts w:ascii="Times New Roman" w:cs="Times New Roman" w:eastAsia="Times New Roman" w:hAnsi="Times New Roman"/>
          <w:sz w:val="18"/>
          <w:szCs w:val="18"/>
          <w:color w:val="auto"/>
        </w:rPr>
      </w:pPr>
    </w:p>
    <w:p>
      <w:pPr>
        <w:jc w:val="both"/>
        <w:ind w:left="300" w:hanging="292"/>
        <w:spacing w:after="0" w:line="272"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Certificate of New Veterinary Drugs verifies that this veterinary drug product has undergone all the necessary tests and evaluations to ensure its safety, efficacy, and quality, and it can be used for animals under the stipulated uses and dosages. It is a required certificate for a company before receiving an Approval Number for Veterinary Biological Products for a vaccine and commencing manufacturing such vaccine. See “Regulations</w:t>
      </w:r>
    </w:p>
    <w:p>
      <w:pPr>
        <w:spacing w:after="0" w:line="1"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Regulations Related to Veterinary Drugs Production and Operation”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operating entity is granted approval by Egypt to sell its Newcastle Disease Vaccine, Live (Strain Clone 30), Infectious Coryza Vaccine, Inactivated, Newcastle Disease Vaccine, Live (LaSota strain), Newcastle Disease Vaccine, Inactivated, and Newcastle Disease and Egg Drop Syndrome Vaccine, Inactivated.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the operating entity is granted approval by Pakistan to sell its Combined Newcastle Disease &amp; Egg Drop Syndrome Vaccine, Inactivated, Combined Newcastle Disease &amp; Infectious Bronchitis Vaccine, Live, Newcastle Disease Vaccine, Inactivated, Combined Newcastle Disease and Infectious Bronchitis Vaccine, Live (Strain La Sota + Strain H52), New Castle Disease Virus (La Sota Strain) and Avian influenza virus (H9 subtype, HL strain, H9N2) Vaccine, Inactivated, Reassortant Newcastle Disease Virus and Avian Influenza Virus (H9 Subtype) Vaccine, Inactivated (Strain aSG10+ Strain G), Avian Influenza Virus (H9 subtype SY strain) Vaccine, and Inactivated, Newcastle Disease, Infectious Bronchitis and Egg Drop Syndrome Vaccine, Inactivated (Strain Clone30+StrainM41+StrainAV127).</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the operating entity is granted approval by Vietnam to sell its Newcastle disease virus (La Sota strain), and Avian influenza virus (H9 subtype HL strain) Vaccine, Inactivated, Avian Pox Vaccine, Live (Quail-Adapted Strain), Newcastle Disease Vaccine, Live (LaSota strain), Newcastle Disease Vaccine, Inactivated, Newcastle Disease Vaccine, Inactivated, Newcastle Disease, Combined Newcastle Disease and Infectious Bronchitis Vaccine, Live (Strain La Sota + Strain H52), Infectious Bronchitis and Avian Influenza (H9 subtype) Vaccine, Inactivated (Strain La Sota + Strain M41 + Strain SY), and Infectious Bursal Disease Vaccine, Live (Strain B87).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operating entity has two types of customers, (i) direct-end user customers, including livestock farmers and local governments; and (ii) distributors that distribute the operating entity’s products to end-user customers, including domestic distributors and exporting distributors (See “— Sales and Distribution-Distribution Network”). The operating entity sources its customers through multiple channels, including (i) attending industry exhibitions/expos, and</w:t>
      </w:r>
    </w:p>
    <w:p>
      <w:pPr>
        <w:spacing w:after="0" w:line="1" w:lineRule="exact"/>
        <w:rPr>
          <w:sz w:val="20"/>
          <w:szCs w:val="20"/>
          <w:color w:val="auto"/>
        </w:rPr>
      </w:pPr>
    </w:p>
    <w:p>
      <w:pPr>
        <w:jc w:val="both"/>
        <w:ind w:firstLine="8"/>
        <w:spacing w:after="0" w:line="252" w:lineRule="auto"/>
        <w:tabs>
          <w:tab w:leader="none" w:pos="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contacting potential distributor customers and direct-end customers. For the fiscal years ended December 31, 2025, 2024, and 2023, the operating entity had a total of 223, 200, and 170 customers, of which 98, 63, and 36 were direct end-user customers, and 121, 133, and 129 were distributor customers, respectively. For the fiscal years ended December 31, 2025, 2024, and 2023, revenue generated from direct-end user customers amounted to RMB54.9 million (US$7.8 million), RMB126.5 million, and RMB162.0 million, respectively. For the fiscal years ended December 31, 2025, 2024, and 2023, the revenue generated from distributor customers amounted to RMB61.5 million (US$8.8 million), RMB59.9 million, and RMB49.7 million, respectively.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2025, MYF accounted for 13.7% of our total revenue. For the fiscal year ended December 31, 2024, MYF accounted for 44.6% of our total revenue. For the fiscal year ended December 31, 2023, two customers, MYF and Shuangbaotai, accounted for 52.1% and 15.0% of our total revenue, respectively. See “Risk Factors — Risks Relating to Our Business and Industry — High customer concentration exposes the operating entity to all of the risks faced by its major customer and may subject it to significant fluctuations or declines in revenue, which may have a material adverse impact on the operating entity’s business, and its and our financial condition and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 has long-term written sales agreements, ranging from one to three years, with its direct-end user customers who are livestock farmers (for the description of direct-end user customers who are local governments, see “— Sales and Distribution-Government Tender and Procurement”). The key terms of these sales agreements (including those agreements with top customers) include:</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name, type, quantity, and price;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standard — vaccines qualifications, including business license, veterinary vaccines production and operation licenses, and inspection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time, method and payment terms;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contract terms, including remedies, such as refunds and return of products (for example, customers are entitled to refunds and may return the product if the wrong product is delivered or the product does not meet agreed upon quality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costs, which are typically borne by the seller;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solutions, including bringing a lawsuit at the local court where the direct-end user customers are located, if negotiations are unsuccessful.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In the course of dealing with overseas customers, the operating entity has maintained stable business relationships; however, such business relationships are not memorialized in any long-term agreements, but are rather provided for in short-form order sheets. In respect of their international sales, the risk of loss is borne by the customers upon delivery of the products. See “— Sales and Distribution — Distribution Network.”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faces an inherent risk of liability claims or complaints from customers. When the products are found to be defective, they are required to recall the products according to usage of trade. When customers file product liability claims against the operating entity, conflict of laws and product liability laws of the countries or regions where they are located are applicable. Jurisdiction is determined by the sales agreements, and laws of the countries or regions where the customers are located will determine the issue if the sales agreements are absent of jurisdiction selection clauses.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operating entity is not aware of any warnings, investigations, prosecutions, disputes, claims or other proceedings in respect of veterinary vaccines it manufactures or distributes overseas, nor has it been penalized or can foresee any penalties to be made by any overseas jurisdiction with respect to veterinary vaccines safety.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 sources its suppliers through multiple channels: (i) referral by companies in the same industry, (ii) marketing by suppliers’ salespersons, and (iii) direct contact with suppliers through public channel, for example, suppliers’ websites.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entity’s suppliers are those providing raw materials for the manufacturing of the products. The raw and auxiliary materials include serum, culture medium, adjuvant, hatching egg, and experimental animal (primarily consisting of rats and chicken, which are mainly used in early-stage R&amp;D and efficacy examination of vaccines. See “— Products”). All of which are purchased from certified and qualified suppliers in China. The operating entity’s supply was affected during the COVID-19 pandemic because of two reasons: (i) lockdown resulted from the pandemic stopped suppliers’ production or postponed their deliveries of raw materials; and (ii) the raw materials of the operating entity’s products are similar to those of COVID-19 vaccines, therefore, the price of raw materials surged due to the mass production of COVID-19 vaccines.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2025, two suppliers, Hangzhou Julin Biotechnology Co., Ltd. and Jilin City Jilin Economic and Technological Development Zone Lianyuan Livestock Professional Cooperative, accounted for more than 10% of the operating entity’s total supplies purchased, accounting for 12.3% and 12.2%, respectively. For the fiscal years ended December 31, 2024, a supplier, Suzhou Womei Biology Co., Ltd., accounted for more than 10% of the operating entity’s total supplies purchased, accounting for 14.2%. For the year ended December 31, 2023, no vendor accounted above 10% of the Company’s total purchases.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the operating entity has a total of 36 suppliers. Although the operating entity can utilize any supplier it determines, we believe that it has established healthy and stable relationships with its significant suppliers through years of cooperation. There are no minimum purchase requirements with any of the suppliers, including with the above significant ones. Each supplier order is typically governed by a brief purchase-order based purchase agreement. The key terms of the supplier purchase agreements (including those agreements with the significant suppliers) include:</w:t>
      </w:r>
    </w:p>
    <w:p>
      <w:pPr>
        <w:spacing w:after="0" w:line="18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name, type, quantity, and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terms which are typically expressed with reference to national or industry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time, method and payment terms. Shipping costs are the responsibility of the supplier;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contract terms, including refund and return of products, compensatory damages. If the supplier cannot deliver the product within the time agreed, or if the products do not meet the stated quality standard, the supplier must compensate the operating entity for losses caused, including treble damages if the products are defective or counterfeit. In the event the operating entity cannot timely pay, liquidated damages are due to the supplier.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R&amp;D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invests in R&amp;D, aiming to develop new products and improve its existing products to accommodate the market needs. The R&amp;D expenses totaled approximately RMB18.0 million (US$2.6 million), RMB12.8 million, and RMB11.9 million for the fiscal years ended December 31, 2025, 2024, and 2023, respectively. R&amp;D expenses mainly consist of applicable personnel, sample manufacturing and materials expenses. As of the date of this annual report, the operating entity has a total of 51 employees in the R&amp;D department. Below is a list of some employees in the R&amp;D department.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Years of</w:t>
            </w:r>
          </w:p>
        </w:tc>
        <w:tc>
          <w:tcPr>
            <w:tcW w:w="4480" w:type="dxa"/>
            <w:vAlign w:val="bottom"/>
          </w:tcPr>
          <w:p>
            <w:pPr>
              <w:spacing w:after="0"/>
              <w:rPr>
                <w:sz w:val="18"/>
                <w:szCs w:val="18"/>
                <w:color w:val="auto"/>
              </w:rPr>
            </w:pPr>
          </w:p>
        </w:tc>
      </w:tr>
      <w:tr>
        <w:trPr>
          <w:trHeight w:val="24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Credential</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198"/>
        </w:trPr>
        <w:tc>
          <w:tcPr>
            <w:tcW w:w="1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 Lian</w:t>
            </w:r>
          </w:p>
        </w:tc>
        <w:tc>
          <w:tcPr>
            <w:tcW w:w="12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Master of preventive veterinary medicine, senior</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 years</w:t>
            </w:r>
          </w:p>
        </w:tc>
        <w:tc>
          <w:tcPr>
            <w:tcW w:w="1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One of the inventors of 41 inventions and utility models;</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veterinarian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Owner of twenty-two China national scientific and technical</w:t>
            </w:r>
          </w:p>
        </w:tc>
      </w:tr>
      <w:tr>
        <w:trPr>
          <w:trHeight w:val="234"/>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achievement</w:t>
            </w:r>
          </w:p>
        </w:tc>
      </w:tr>
      <w:tr>
        <w:trPr>
          <w:trHeight w:val="198"/>
        </w:trPr>
        <w:tc>
          <w:tcPr>
            <w:tcW w:w="1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Shaoguo Bian</w:t>
            </w:r>
          </w:p>
        </w:tc>
        <w:tc>
          <w:tcPr>
            <w:tcW w:w="37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Master of preventive veterinary medicine, senior</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22 years</w:t>
            </w: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One of the inventors of 19 inventions and utility models;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veterinarian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Owner of five China national scientific and technical</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achievements;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Winner of Liaoning Province Animal Husbandry Science and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Technology Contribution Award;</w:t>
            </w: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Winner of Liaoning Province Science and Technology Award</w:t>
            </w: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Shushuai Yi</w:t>
            </w:r>
          </w:p>
        </w:tc>
        <w:tc>
          <w:tcPr>
            <w:tcW w:w="37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Doctor of preventive veterinary medicine</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12 years</w:t>
            </w:r>
          </w:p>
        </w:tc>
        <w:tc>
          <w:tcPr>
            <w:tcW w:w="4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Inventor of three inventions;</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Led and participated in 5 provincial and ministerial-level</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science and technology projects in China, published nearly</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research papers, ten of which are indexed in Science</w:t>
            </w:r>
          </w:p>
        </w:tc>
      </w:tr>
      <w:tr>
        <w:trPr>
          <w:trHeight w:val="234"/>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Citation Index.</w:t>
            </w:r>
          </w:p>
        </w:tc>
      </w:tr>
      <w:tr>
        <w:trPr>
          <w:trHeight w:val="198"/>
        </w:trPr>
        <w:tc>
          <w:tcPr>
            <w:tcW w:w="1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Jiangting Niu</w:t>
            </w:r>
          </w:p>
        </w:tc>
        <w:tc>
          <w:tcPr>
            <w:tcW w:w="37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Doctor of preventive veterinary medicine</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10 years</w:t>
            </w: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Inventor of one invention</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Led and participated in 3 provincial and ministerial-level</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science and technology projects in China, and published</w:t>
            </w: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nearly 30 research papers</w:t>
            </w: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Guohui Wang</w:t>
            </w:r>
          </w:p>
        </w:tc>
        <w:tc>
          <w:tcPr>
            <w:tcW w:w="37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Bachelor of veterinary medicine, senior</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23 years</w:t>
            </w:r>
          </w:p>
        </w:tc>
        <w:tc>
          <w:tcPr>
            <w:tcW w:w="4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One of the inventors of 36 inventions and utility models;</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veterinarian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Owner of 19 China national scientific and technical</w:t>
            </w:r>
          </w:p>
        </w:tc>
      </w:tr>
      <w:tr>
        <w:trPr>
          <w:trHeight w:val="234"/>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achievement</w:t>
            </w:r>
          </w:p>
        </w:tc>
      </w:tr>
      <w:tr>
        <w:trPr>
          <w:trHeight w:val="198"/>
        </w:trPr>
        <w:tc>
          <w:tcPr>
            <w:tcW w:w="1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Jing Wu</w:t>
            </w:r>
          </w:p>
        </w:tc>
        <w:tc>
          <w:tcPr>
            <w:tcW w:w="37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Bachelor of veterinary medicine, assistant</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10 years</w:t>
            </w: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One of the inventors of 20 inventions and utility models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veterinarian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Owner of ten China national scientific and technical</w:t>
            </w: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achievements</w:t>
            </w: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Zhiyun Yu</w:t>
            </w:r>
          </w:p>
        </w:tc>
        <w:tc>
          <w:tcPr>
            <w:tcW w:w="37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Bachelor of veterinary medicine, senior</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19 years</w:t>
            </w:r>
          </w:p>
        </w:tc>
        <w:tc>
          <w:tcPr>
            <w:tcW w:w="4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One of the inventors of 10 inventions and utility models</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veterinarian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Owner of seven China national scientific and technical</w:t>
            </w:r>
          </w:p>
        </w:tc>
      </w:tr>
      <w:tr>
        <w:trPr>
          <w:trHeight w:val="234"/>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achievements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 currently has one R&amp;D center, which was established in 2006 and located at No. 1 Lianmeng Road, Jilin Economic &amp; Technical Development Zone, Jilin Province, China. As of the date of this annual report, the R&amp;D center has developed 42 patents, and helped the operating entity receive 17 Registration Certificates of New Veterinary Drugs.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In addition to independent R&amp;D, the operating entity also cooperates with universities and research institutions on multiple projects.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long development cycle, large investment, and high risk associated with veterinary vaccines, the early-stage research for new products is mainly conducted within universities and research institutes. Manufacturers acquire new veterinary drug production technologies through technology transfer or cooperative R&amp;D with universities or research institutes, and then mass-produce and commercialize the veterinary vaccines. In the process of cooperative R&amp;D, universities and research institutes are mainly responsible for early-stage basic research. The operating entity, in addition to participating in basic research, is primarily responsible for pilot study and industrialization research. The operating entity has established relationships with veterinary research institutes and universities such as Harbin Veterinary Research Institute, Shanghai Veterinary Research Institute, China Agricultural University, Jilin University, and Nanjing Agricultural University, working on research cooperation and technology introduction. The associated costs incurred in the cooperation are funded by the operating entity’s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cooperative research agreements with universities and research institutions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research, project objective, research methodology, research location, and term of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responsibilities and payment terms. Normally it is the operating entity’s responsibility to provide research funds and research institutions’ responsibility to conduct research;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right of first refusal, and exclusive right of production. The operating entity is normally entitled to the right of first refusal and the exclusive right of production regarding the vaccine or technology that is intended to be developed under the agreement;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solutions, including bringing a lawsuit at the local court, if negotiations are unsuccessful.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2008, the operating entity entered into a strategic cooperation framework agreement with Shanghai Veterinary Research Institute, pursuant to which the operating entity agreed to pay RMB3 million each year, from September 2008 to September 2018, to Shanghai Veterinary Research Institute for the R&amp;D of veterinary vaccines (the “Strategic Cooperation Framework Agreement”). The Strategic Cooperation Framework Agreement was in effect from September 9, 2008, until September 8, 2018. Under the terms of this agreement, should the operating entity fail to make timely payments, the Shanghai Veterinary Research Institute reserves the right to terminate the agreement without refunding any payments already made by the operating entity. Apart from that, should the contract be terminated due to a breach by either party, neither party will be subject to significant liabilities resulting from the breach.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2018, as the Strategic Cooperation Framework Agreement was about to expire, both parties signed a memorandum (the “Memorandum”) and made subsequent plans for vaccines that had been approved to commence clinical trials but had not obtained Registration Certificate of New Veterinary Drugs, including Duck Tembusu Viral Disease Vaccine, Live (Strain FX2010-180P). In September 2019, pursuant to the Strategic Cooperation Framework Agreement and the memorandum, Shanghai Veterinary Research Institute transferred Duck Tembusu Viral Disease Vaccine, Live (Strain FX2010-180P) to the operating entity for commercialization. In return, after the operating entity receives an Approval Number for Veterinary Biological Products and commences producing this vaccine, the operating entity would remit 5% of the vaccine’s five-year sales revenue as consideration. Neither the Strategic Cooperation Framework Agreement nor the Memorandum addresses or includes provisions for the cross-licensing of intellectual property rights. The Memorandum does not extend the duration of the Strategic Cooperation Framework Agreement, nor does it contain any provisions regarding its own duration or termination. As of December 31, 2025, the total aggregate amount of the shared revenue paid by the operating entity in this project reached RMB1.4 million (US$0.2 million). The Company recognized the 5% of the sales revenue as cost of revenue since the cost was directly related to the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Moreover, the operating entity is also licensed to use vaccine production technologies and related intellectual properties owned by others to manufacture vaccines through technology licensing agreements.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operating entity entered into a technology licensing agreement with Harbin Veterinary Research Institute on April 5, 2012, pursuant to which Harbin Veterinary Research Institute permitted the operating entity to use the seed virus and production technology of Swine Transmissible Gastroenteritis, Porcine Epidemic Diarrhea and Porcine Rotavirus (G5 type) Vaccine, Live (Strain huadu+Strain CV777+Strain NX) to manufacture the vaccine. As of December 31, 2025, the total aggregate amount that has been paid by the operating entity pursuant to this agreement reach RMB56.0 million (US$8.0 million). The vaccine has been launched in July 2016. The operating entity recognized it as intangible asset and amortized it over the useful life of the licensed technology. Set forth below are the materials terms of the technology licensing contract:</w:t>
      </w:r>
    </w:p>
    <w:p>
      <w:pPr>
        <w:spacing w:after="0" w:line="187" w:lineRule="exact"/>
        <w:rPr>
          <w:sz w:val="20"/>
          <w:szCs w:val="20"/>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technology: the Swine Transmissible Gastroenteritis, Porcine Epidemic Diarrhea and Porcine Rotavirus (G5 type) Vaccine, live (Strain huadu+Strain CV777+Strain NX) is used to prevent infection of porcine infectious gastroenteritis virus, porcine epidemic diarrhea virus, and porcine rotavirus (G5 type). The weak virus Huadu strain, weak virus CV777 strain, and NX strain are all cultivated by Harbin Veterinary Research Institute. The total immunity protection rate of the vaccine is over 85%. The immunity duration is 6 months. The vaccine is stored below -20 degree Celsius and has a validity period of 24 months.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Both parties jointly obtained a Registration Certificate of New Veterinary Drugs for the Swine Transmissible Gastroenteritis, Porcine Epidemic Diarrhea and Porcine Rotavirus (G5 type) Vaccine, live (Strain huadu+Strain CV777+Strain NX) on December 26, 2014. The operating entity is only entitled to use the certificate, and it has no right to transfer the certificate. Within 30 days of obtaining the Registration Certificate of New Veterinary Drugs, Harbin Veterinary Research Institute shall furnish the seed virus and production process of the vaccine to the operating entity.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usage of the technology: Harbin Veterinary Research Institute shall exclusively own the technical achievements and their derived intellectual property rights. The operating entity shall be only entitled to use the technology to produce and sell the vaccines, and it shall not transfer the virus seed and production technology to a third party, nor shall it use the technology for the R&amp;D or technical improvement of other new products or collaborate with a third party in production of the vaccine.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duration: April 5, 2012 to April 5, 2032. If the operating entity wishes to continue using the technology to produce vaccines after the expiration of this agreement, it shall obtain the consent of Harbin Veterinary Research Institute and comply with the payment term of this agreement. Harbin Veterinary Research Institute shall agree to renew the agreement, unless prevented by an event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Indemnity: Harbin Veterinary Research Institute shall guarantee that this technology does not infringe on the legitimate rights of any third party. If a third party accuses the operating entity of infringement and the operating entity is ordered to pay compensation, Harbin Veterinary Research Institute shall cover the loss. Harbin Veterinary Research Institute shall not be liable if a third party maliciously infringes on the technology outlined in this agreement.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the seed virus and production process of the vaccine, and all information and data exchanged between the parties during the contract term are subject to strict confidentiality obligations. Should a party violate these confidentiality obligations, it will be liable to pay liquidated damages amounting to RMB10 million to the non-breaching party. Additionally, if the operating entity breaches its confidentiality obligations, it will not only be required to pay the stipulated liquidated damages but will also forfeit any right to reclaim paid royalties and must compensate Harbin Veterinary Research Institute for any economic losses arising from the disclosure of confidential information.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Improvement: the operating entity is not entitled to use the technology of this agreement for subsequent improvement. Harbin Veterinary Research Institute shall be entitled to make subsequent improvements to the technology of this agreement. The new technological achievements with substantive or creative technological progress resulting from the technology of this agreement shall belong to Harbin Veterinary Research Institute.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left="660" w:hanging="328"/>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the operating entity is obligated to pay Harbin Veterinary Research Institute royalties totaling RMB56.0 million, plus 5% of the vaccine’s annual sales revenue, commencing from the first day of production of the vaccine. The operating entity has already paid Harbin Veterinary Research Institute an initial amount of RMB2.0 million. The remaining RMB54.0 million is to be paid in installments. For the first installment, due by December 10, 2014, the operating entity is to pay Harbin Veterinary Research Institute royalties amounting to RMB21.6 million. For the second installment, due by October 20, 2015, the operating entity is to pay Harbin Veterinary Research Institute royalties amounting to RMB16.2 million. For the third installment, due by October 20, 2016, the operating entity is to pay Harbin Veterinary Research Institute royalties amounting to RMB16.2 million. Starting from the date of production of the vaccine, the operating entity is obligated to pay Harbin Veterinary Research Institute a lump sum of 5% of the sales revenue by December 10 each year.</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operating entity: (i) if the operating entity fails to comply with the provision of confidentiality and scope of usage of the technology, it is obligated to pay Harbin Veterinary Research Institute liquidated damages of RMB10.0 million, and must compensate Harbin Veterinary Research Institute for any economic losses arising from the disclosure of confidential information; and (ii) if the operating entity fails to pay its royalties in full and on time, it is obligated to pay Harbin Veterinary Research Institute liquidated damages of RMB10.0 million and compensate for any incurred losses.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Harbin Veterinary Research Institute: if Harbin Veterinary Research Institute fails to comply with the agreed-upon provisions regarding performance, it is obligated to pay the operating entity liquidated damages of RMB10.0 million and to refund all royalties previously paid by the operating entity.</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agreement may be terminated if (i) there is an occurrence of an event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or (ii) both parties agree to terminate this agreement.</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 Any disputes incurred in connection with the performance of the contract shall be resolved through negotiation and mediation. If negotiation and mediation fail, the disputes shall be submitted to Harbin Arbitration Commission for arbitration.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operating entity entered into a technology licensing agreement with China Agricultural University and China Institute of Veterinary Drug Control on July 16, 2018, pursuant to which the operating entity is permitted to use the seed virus and production technology of Reassortant Newcastle Disease Virus and Avian Influenza Virus (H9 Subtype) Vaccine, Inactivated (Strain aSG10+ Strain G). The vaccine has been launched in January 2020. As of December 31, 2025, the total aggregate amount that has been paid by the operating entity pursuant to this agreement reach RMB6.0 million (US$0.9 million). The operating entity recognized it as intangible assets, and amortized it over the useful life of the licensed technology. Set forth below are the materials terms of the technology licensing contract:</w:t>
      </w:r>
    </w:p>
    <w:p>
      <w:pPr>
        <w:spacing w:after="0" w:line="187" w:lineRule="exact"/>
        <w:rPr>
          <w:sz w:val="20"/>
          <w:szCs w:val="20"/>
          <w:color w:val="auto"/>
        </w:rPr>
      </w:pPr>
    </w:p>
    <w:p>
      <w:pPr>
        <w:jc w:val="both"/>
        <w:ind w:left="660" w:hanging="328"/>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technology: the Reassortant Newcastle Disease Virus and Avian Influenza Virus (H9 Subtype) Vaccine, Inactivated (Strain aSG10+ Strain G) is used to prevent Newcastle disease and H9 subtype avian influenza. The main content of this technical secret is the production process, production and testing of recombinant Newcastle disease virus and avian influenza (H9 subtype) inactivated vaccine, as well as related formulas. According to this agreement, the operating entity has the access to production technology of the vaccine, seed virus for production and testing, and related formula.</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After obtaining the Registration Certificate of New Veterinary Drugs and within 15 days since the operating entity fully pays the royalties, China Agricultural University and China Institute of Veterinary Drug Control shall furnish to the operating entity (i) attenuated strains of virus; (ii) manufacturing and inspection procedures; (iii) quality standards and user guidebook; and (iv) quality standards and testing techniques for raw and auxiliary materials.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usage of the technology: the operating entity shall be only entitled to use the technology to produce and sell the vaccines under the supervision of the other two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left="328" w:hanging="328"/>
        <w:spacing w:after="0" w:line="266"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Indemnity: China Agricultural University and China Institute of Veterinary Drug Control shall ensure that this technology does not violate the legitimate rights of any third party. Should a third party accuse the operating entity of infringement, both entities are obligated to assist the operating entity in defending its rights.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duration: July 16, 2018 to July 15, 2038.</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the seed virus and production process of the vaccine, and all information and data exchanged among the parties during the contract term are subject to strict confidentiality obligations. Should the operating entity violate these confidentiality obligations, it will be liable to pay liquidated damages amounting to RMB18.0 million to the non-breaching parties. Additionally, it will also forfeit any right to reclaim paid royalties and the non-breaching parties can terminate the agreement. Should the other two parties breach these confidentiality obligations, the operating entity is entitled to seek compensation for any direct economic losses incurred, up to the total amount of royalties actually paid.</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service and supervision: China Agricultural University shall provide on-site technical guidance and training to the operating entity, and China Institute of Veterinary Drug Control shall provide technical consultation. The operating entity is obligated to furnish China Agricultural University and China Institute of Veterinary Drug Control with all necessary conditions for utilizing the licensed technology, including trial production and technical training. The operating entity shall also cover associated costs, encompassing living and transportation expenses for technical supervisors and consultants.</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Improvement: should the operating entity intend to make subsequent improvements to the technology stipulated in this agreement, it must seek approval from the other two parties. The operating entity is prohibited from utilizing the technology for the R&amp;D of any other new products.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the operating entity is obligated to pay royalties in installments, totaling RMB6.0 million, with RMB3.3 million to be paid to China Agricultural University, and the remaining RMB2.7 million to China Institute of Veterinary Drug Control. Within twenty working days after the effective date of this contract, the operating entity shall pay RMB2.0 million in royalties; RMB1.1 million to China Agricultural University, and the remaining RMB0.9 million to China Institute of Veterinary Drug Control. Within twenty working days after obtaining the Registration Certificate of New Veterinary Drugs, the operating entity shall pay an additional RMB4.0 million in royalties; RMB2.2 million to China Agricultural University, and the remaining RMB1.8 million to China Institute of Veterinary Drug Control. If the technical outcomes of this project fail to secure a Registration Certificate of New Veterinary Drugs, China Agricultural University and China Institute of Veterinary Drug Control shall refund all payments received from the operating entity, without interest, and shall not bear any further liabilities.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and modification: (i) if a party cannot perform its obligations due to an event of force majeure, it will be exempted from liability for breach of contract, provided that it promptly informs the other two parties and submits a certificate proving inability to perform within thirty days;</w:t>
      </w:r>
    </w:p>
    <w:p>
      <w:pPr>
        <w:jc w:val="both"/>
        <w:ind w:left="328" w:hanging="4"/>
        <w:spacing w:after="0" w:line="253" w:lineRule="auto"/>
        <w:tabs>
          <w:tab w:leader="none" w:pos="6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 party be unable to fulfill its contractual obligations due to alterations in veterinary drug laws, regulations, or policies, it will be exempted from breach of contract liability, provided that it promptly informs the other two parties and supplies proof of inability to fulfill the contract within thirty days; and (iii) if this contract cannot be executed owing to factors like the production conditions of the operating entity, the entity may propose modifications to the contract but must compensate the other two parties for any losses incurred.</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operating entity: (i) if the operating entity fails to fully pay its royalties on time, it will incur a breach of contract. If the payment is overdue by no more than one month, the operating entity is obligated to pay the owed royalties and an additional late fee of 0.5% of the payable amount for each day of delay to the other parties. Should the payment be overdue by more than one month, the other two parties may, following negotiations, notify the operating entity of the contract’s termination. Any royalties previously paid by the operating entity are non-refundable; (ii) if the operating entity breaches the confidentiality provisions, it must pay the other two parties liquidated damages of RMB18.0 million;</w:t>
      </w:r>
    </w:p>
    <w:p>
      <w:pPr>
        <w:spacing w:after="0" w:line="3" w:lineRule="exact"/>
        <w:rPr>
          <w:rFonts w:ascii="Times New Roman" w:cs="Times New Roman" w:eastAsia="Times New Roman" w:hAnsi="Times New Roman"/>
          <w:sz w:val="18"/>
          <w:szCs w:val="18"/>
          <w:color w:val="auto"/>
        </w:rPr>
      </w:pPr>
    </w:p>
    <w:p>
      <w:pPr>
        <w:ind w:left="328" w:hanging="4"/>
        <w:spacing w:after="0" w:line="260" w:lineRule="auto"/>
        <w:tabs>
          <w:tab w:leader="none" w:pos="6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operating entity violate any other provisions of this contract, it will incur liability for breach of contract and must compensate the other two parties with liquidated damages of RMB18.0 million, in addition to ceasing the infringing acts immediately.</w:t>
      </w:r>
    </w:p>
    <w:p>
      <w:pPr>
        <w:spacing w:after="0" w:line="39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66" w:name="page67"/>
    <w:bookmarkEnd w:id="66"/>
    <w:p>
      <w:pPr>
        <w:jc w:val="both"/>
        <w:ind w:left="660" w:right="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China Agricultural University and China Institute of Veterinary Drug Control: if either of the two parties violates the confidentiality provisions, it shall incur liability for breach of contract. The operating entity reserves the right to require the violating party to compensate for all resulting economic losses, up to the amount of the royalties paid by the operating entity at that time.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 Any disputes incurred in connection with the performance of the contract shall be resolved through negotiation and mediation. If negotiation and mediation fail, the disputes shall be submitted to Beijing Arbitration Commission for arbitration.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conducts research projects solely or cooperatively with third-party local universities. The associated costs incurred in these projects are solely funded by the operating entity. For certain research projects eligible for government subsidies, the operating entity receives subsidies from the government of Jilin Province, PRC, which the operating entity records as other income, government subsidies, in the consolidated statements of income and comprehensive income. Set forth below is a list of these research projects in the past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Collaborator</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r>
      <w:tr>
        <w:trPr>
          <w:trHeight w:val="191"/>
        </w:trPr>
        <w:tc>
          <w:tcPr>
            <w:tcW w:w="5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Development of Ovine and Caprine Contagious Pustular Virus mRNA</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Jilin University</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Vaccine Based on Lipid Nanoparticle Technology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The Development of Combined VSV-SVV Nucleic Acid Rapid Test Kit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Jilin University</w:t>
            </w:r>
          </w:p>
        </w:tc>
        <w:tc>
          <w:tcPr>
            <w:tcW w:w="1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its Application in the Quarantine of Cold-chain Pork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Study of Rapid Visual Nucleic Acid Test of Various SARS-CoV-2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Jilin University</w:t>
            </w:r>
          </w:p>
        </w:tc>
        <w:tc>
          <w:tcPr>
            <w:tcW w:w="11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Mutants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Development of Animal Microecological Vaccine for the Biological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Jilin Agricultural University</w:t>
            </w:r>
          </w:p>
        </w:tc>
        <w:tc>
          <w:tcPr>
            <w:tcW w:w="1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of African Swine Fever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The Development and Application of Rapid Visual Test Technology for Key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Jilin Agricultural University</w:t>
            </w:r>
          </w:p>
        </w:tc>
        <w:tc>
          <w:tcPr>
            <w:tcW w:w="11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Viral Diseases in Goslings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Development and Application of Fluorescent ERA Rapid Thermostatic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Jilin Academy of Agricultural Sciences</w:t>
            </w:r>
          </w:p>
        </w:tc>
        <w:tc>
          <w:tcPr>
            <w:tcW w:w="1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Technology for Key Viral Diarrhea Diseases in Pigs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Preparation Process Study of Immunoglobulin Y against Rotavirus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Jilin Institute of Animal Husbandry and Veterinary</w:t>
            </w:r>
          </w:p>
        </w:tc>
        <w:tc>
          <w:tcPr>
            <w:tcW w:w="11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 in Herbivorous Animals and its Prophylactic Application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Medicine</w:t>
            </w:r>
          </w:p>
        </w:tc>
        <w:tc>
          <w:tcPr>
            <w:tcW w:w="1120" w:type="dxa"/>
            <w:vAlign w:val="bottom"/>
            <w:shd w:val="clear" w:color="auto" w:fill="CCEEFF"/>
          </w:tcPr>
          <w:p>
            <w:pPr>
              <w:spacing w:after="0"/>
              <w:rPr>
                <w:sz w:val="20"/>
                <w:szCs w:val="20"/>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Research on the Antitumor Effect of Oncolytic ORFV Virus Against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Jilin University</w:t>
            </w:r>
          </w:p>
        </w:tc>
        <w:tc>
          <w:tcPr>
            <w:tcW w:w="1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Animal Melanoma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Innovation and Application of Bacteriophages in the Detection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Jilin Provincial Center for Animal Disease Prevention and</w:t>
            </w:r>
          </w:p>
        </w:tc>
        <w:tc>
          <w:tcPr>
            <w:tcW w:w="11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Foodborne Pathogens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Control</w:t>
            </w:r>
          </w:p>
        </w:tc>
        <w:tc>
          <w:tcPr>
            <w:tcW w:w="1120" w:type="dxa"/>
            <w:vAlign w:val="bottom"/>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 a Postbiotic Preparation Against Bacterial Enteritis in Fish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Jilin Academy of Agricultural Sciences</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 Vaccine for Mycoplasma bovis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Huazhong Agricultural University</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2024</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Bivalent Inactivated Vaccine for Mycoplasma bovis and Pasteurella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Jilin Agricultural University</w:t>
            </w:r>
          </w:p>
        </w:tc>
        <w:tc>
          <w:tcPr>
            <w:tcW w:w="1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2025</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multocida (Serotype 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Development and application of a live vaccine against bovine mycoplasma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Huazhong Agricultural University (Jilin Provincial</w:t>
            </w:r>
          </w:p>
        </w:tc>
        <w:tc>
          <w:tcPr>
            <w:tcW w:w="11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2025</w:t>
            </w:r>
          </w:p>
        </w:tc>
      </w:tr>
      <w:tr>
        <w:trPr>
          <w:trHeight w:val="234"/>
        </w:trPr>
        <w:tc>
          <w:tcPr>
            <w:tcW w:w="5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Science and Technology Development Program Project)</w:t>
            </w:r>
          </w:p>
        </w:tc>
        <w:tc>
          <w:tcPr>
            <w:tcW w:w="1120" w:type="dxa"/>
            <w:vAlign w:val="bottom"/>
            <w:shd w:val="clear" w:color="auto" w:fill="CCEEFF"/>
          </w:tcPr>
          <w:p>
            <w:pPr>
              <w:spacing w:after="0"/>
              <w:rPr>
                <w:sz w:val="20"/>
                <w:szCs w:val="20"/>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62</w:t>
            </w:r>
          </w:p>
        </w:tc>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study of therapeutic chimeric monoclonal antibodies against feline</w:t>
            </w: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Institute of Special Animal and Plant Sciences, Chinese</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parvovirus</w:t>
            </w: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Academy of Agricultural Sciences (Jilin Provincial</w:t>
            </w:r>
          </w:p>
        </w:tc>
        <w:tc>
          <w:tcPr>
            <w:tcW w:w="980" w:type="dxa"/>
            <w:vAlign w:val="bottom"/>
            <w:shd w:val="clear" w:color="auto" w:fill="CCEEFF"/>
          </w:tcPr>
          <w:p>
            <w:pPr>
              <w:spacing w:after="0"/>
              <w:rPr>
                <w:sz w:val="18"/>
                <w:szCs w:val="18"/>
                <w:color w:val="auto"/>
              </w:rPr>
            </w:pPr>
          </w:p>
        </w:tc>
      </w:tr>
      <w:tr>
        <w:trPr>
          <w:trHeight w:val="234"/>
        </w:trPr>
        <w:tc>
          <w:tcPr>
            <w:tcW w:w="5680" w:type="dxa"/>
            <w:vAlign w:val="bottom"/>
            <w:shd w:val="clear" w:color="auto" w:fill="CCEEFF"/>
          </w:tcPr>
          <w:p>
            <w:pPr>
              <w:spacing w:after="0"/>
              <w:rPr>
                <w:sz w:val="20"/>
                <w:szCs w:val="20"/>
                <w:color w:val="auto"/>
              </w:rPr>
            </w:pP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Science and Technology Development Program Project)</w:t>
            </w:r>
          </w:p>
        </w:tc>
        <w:tc>
          <w:tcPr>
            <w:tcW w:w="980" w:type="dxa"/>
            <w:vAlign w:val="bottom"/>
            <w:shd w:val="clear" w:color="auto" w:fill="CCEEFF"/>
          </w:tcPr>
          <w:p>
            <w:pPr>
              <w:spacing w:after="0"/>
              <w:rPr>
                <w:sz w:val="20"/>
                <w:szCs w:val="20"/>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Development of nanobody-targeted probiotic (lactic acid bacteria)</w:t>
            </w:r>
          </w:p>
        </w:tc>
        <w:tc>
          <w:tcPr>
            <w:tcW w:w="45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Jilin Agricultural University (Jilin Provincial Science and</w:t>
            </w:r>
          </w:p>
        </w:tc>
        <w:tc>
          <w:tcPr>
            <w:tcW w:w="98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2025</w:t>
            </w: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microecological therapeutics</w:t>
            </w:r>
          </w:p>
        </w:tc>
        <w:tc>
          <w:tcPr>
            <w:tcW w:w="4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Technology Development Program Project)</w:t>
            </w:r>
          </w:p>
        </w:tc>
        <w:tc>
          <w:tcPr>
            <w:tcW w:w="980" w:type="dxa"/>
            <w:vAlign w:val="bottom"/>
          </w:tcPr>
          <w:p>
            <w:pPr>
              <w:spacing w:after="0"/>
              <w:rPr>
                <w:sz w:val="20"/>
                <w:szCs w:val="20"/>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Development of a subunit vaccine against porcine circovirus type 3</w:t>
            </w:r>
          </w:p>
        </w:tc>
        <w:tc>
          <w:tcPr>
            <w:tcW w:w="458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Jilin Agricultural Science and Technology University (Jilin</w:t>
            </w:r>
          </w:p>
        </w:tc>
        <w:tc>
          <w:tcPr>
            <w:tcW w:w="980" w:type="dxa"/>
            <w:vAlign w:val="bottom"/>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16"/>
        </w:trPr>
        <w:tc>
          <w:tcPr>
            <w:tcW w:w="5680" w:type="dxa"/>
            <w:vAlign w:val="bottom"/>
            <w:shd w:val="clear" w:color="auto" w:fill="CCEEFF"/>
          </w:tcPr>
          <w:p>
            <w:pPr>
              <w:spacing w:after="0"/>
              <w:rPr>
                <w:sz w:val="18"/>
                <w:szCs w:val="18"/>
                <w:color w:val="auto"/>
              </w:rPr>
            </w:pPr>
          </w:p>
        </w:tc>
        <w:tc>
          <w:tcPr>
            <w:tcW w:w="45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Provincial Science and Technology Development Program</w:t>
            </w:r>
          </w:p>
        </w:tc>
        <w:tc>
          <w:tcPr>
            <w:tcW w:w="980" w:type="dxa"/>
            <w:vAlign w:val="bottom"/>
            <w:shd w:val="clear" w:color="auto" w:fill="CCEEFF"/>
          </w:tcPr>
          <w:p>
            <w:pPr>
              <w:spacing w:after="0"/>
              <w:rPr>
                <w:sz w:val="18"/>
                <w:szCs w:val="18"/>
                <w:color w:val="auto"/>
              </w:rPr>
            </w:pPr>
          </w:p>
        </w:tc>
      </w:tr>
      <w:tr>
        <w:trPr>
          <w:trHeight w:val="234"/>
        </w:trPr>
        <w:tc>
          <w:tcPr>
            <w:tcW w:w="5680" w:type="dxa"/>
            <w:vAlign w:val="bottom"/>
            <w:shd w:val="clear" w:color="auto" w:fill="CCEEFF"/>
          </w:tcPr>
          <w:p>
            <w:pPr>
              <w:spacing w:after="0"/>
              <w:rPr>
                <w:sz w:val="20"/>
                <w:szCs w:val="20"/>
                <w:color w:val="auto"/>
              </w:rPr>
            </w:pP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Project)</w:t>
            </w:r>
          </w:p>
        </w:tc>
        <w:tc>
          <w:tcPr>
            <w:tcW w:w="980" w:type="dxa"/>
            <w:vAlign w:val="bottom"/>
            <w:shd w:val="clear" w:color="auto" w:fill="CCEEFF"/>
          </w:tcPr>
          <w:p>
            <w:pPr>
              <w:spacing w:after="0"/>
              <w:rPr>
                <w:sz w:val="20"/>
                <w:szCs w:val="20"/>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Development of a recombinant live vector bivalent vaccine against feline</w:t>
            </w:r>
          </w:p>
        </w:tc>
        <w:tc>
          <w:tcPr>
            <w:tcW w:w="45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Jilin University (Jilin Provincial Science and Technology</w:t>
            </w:r>
          </w:p>
        </w:tc>
        <w:tc>
          <w:tcPr>
            <w:tcW w:w="98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infectious conjunctivitis and feline infectious rhinotracheitis</w:t>
            </w:r>
          </w:p>
        </w:tc>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Development Program Project)</w:t>
            </w:r>
          </w:p>
        </w:tc>
        <w:tc>
          <w:tcPr>
            <w:tcW w:w="980" w:type="dxa"/>
            <w:vAlign w:val="bottom"/>
          </w:tcPr>
          <w:p>
            <w:pPr>
              <w:spacing w:after="0"/>
              <w:rPr>
                <w:sz w:val="20"/>
                <w:szCs w:val="20"/>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Construction of a recombinant Orf virus strain and its efficacy in the</w:t>
            </w:r>
          </w:p>
        </w:tc>
        <w:tc>
          <w:tcPr>
            <w:tcW w:w="458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Jilin University (Jilin Provincial Science and Technology</w:t>
            </w:r>
          </w:p>
        </w:tc>
        <w:tc>
          <w:tcPr>
            <w:tcW w:w="980" w:type="dxa"/>
            <w:vAlign w:val="bottom"/>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34"/>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animal mammary tumors</w:t>
            </w: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Development Program Project)</w:t>
            </w:r>
          </w:p>
        </w:tc>
        <w:tc>
          <w:tcPr>
            <w:tcW w:w="980" w:type="dxa"/>
            <w:vAlign w:val="bottom"/>
            <w:shd w:val="clear" w:color="auto" w:fill="CCEEFF"/>
          </w:tcPr>
          <w:p>
            <w:pPr>
              <w:spacing w:after="0"/>
              <w:rPr>
                <w:sz w:val="20"/>
                <w:szCs w:val="20"/>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Development and application of a ferritin-based multivalent nanoparticle</w:t>
            </w:r>
          </w:p>
        </w:tc>
        <w:tc>
          <w:tcPr>
            <w:tcW w:w="45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Jilin Academy of Agricultural Sciences (Jilin Provincial</w:t>
            </w:r>
          </w:p>
        </w:tc>
        <w:tc>
          <w:tcPr>
            <w:tcW w:w="98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vaccine for important avian infectious diseases</w:t>
            </w:r>
          </w:p>
        </w:tc>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Science and Technology Development Program Project)</w:t>
            </w:r>
          </w:p>
        </w:tc>
        <w:tc>
          <w:tcPr>
            <w:tcW w:w="980" w:type="dxa"/>
            <w:vAlign w:val="bottom"/>
          </w:tcPr>
          <w:p>
            <w:pPr>
              <w:spacing w:after="0"/>
              <w:rPr>
                <w:sz w:val="20"/>
                <w:szCs w:val="20"/>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Development and evaluation of a multi-epitope nanoparticle vaccine against</w:t>
            </w:r>
          </w:p>
        </w:tc>
        <w:tc>
          <w:tcPr>
            <w:tcW w:w="458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Jilin Agricultural Science and Technology University (Jilin</w:t>
            </w:r>
          </w:p>
        </w:tc>
        <w:tc>
          <w:tcPr>
            <w:tcW w:w="980" w:type="dxa"/>
            <w:vAlign w:val="bottom"/>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porcine epidemic diarrhea</w:t>
            </w:r>
          </w:p>
        </w:tc>
        <w:tc>
          <w:tcPr>
            <w:tcW w:w="45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Provincial Science and Technology Development Program</w:t>
            </w:r>
          </w:p>
        </w:tc>
        <w:tc>
          <w:tcPr>
            <w:tcW w:w="980" w:type="dxa"/>
            <w:vAlign w:val="bottom"/>
            <w:shd w:val="clear" w:color="auto" w:fill="CCEEFF"/>
          </w:tcPr>
          <w:p>
            <w:pPr>
              <w:spacing w:after="0"/>
              <w:rPr>
                <w:sz w:val="18"/>
                <w:szCs w:val="18"/>
                <w:color w:val="auto"/>
              </w:rPr>
            </w:pPr>
          </w:p>
        </w:tc>
      </w:tr>
      <w:tr>
        <w:trPr>
          <w:trHeight w:val="234"/>
        </w:trPr>
        <w:tc>
          <w:tcPr>
            <w:tcW w:w="5680" w:type="dxa"/>
            <w:vAlign w:val="bottom"/>
            <w:shd w:val="clear" w:color="auto" w:fill="CCEEFF"/>
          </w:tcPr>
          <w:p>
            <w:pPr>
              <w:spacing w:after="0"/>
              <w:rPr>
                <w:sz w:val="20"/>
                <w:szCs w:val="20"/>
                <w:color w:val="auto"/>
              </w:rPr>
            </w:pPr>
          </w:p>
        </w:tc>
        <w:tc>
          <w:tcPr>
            <w:tcW w:w="45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Project)</w:t>
            </w:r>
          </w:p>
        </w:tc>
        <w:tc>
          <w:tcPr>
            <w:tcW w:w="980" w:type="dxa"/>
            <w:vAlign w:val="bottom"/>
            <w:shd w:val="clear" w:color="auto" w:fill="CCEEFF"/>
          </w:tcPr>
          <w:p>
            <w:pPr>
              <w:spacing w:after="0"/>
              <w:rPr>
                <w:sz w:val="20"/>
                <w:szCs w:val="20"/>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Development of a bivalent vaccine against enterotoxigenic Escherichia coli</w:t>
            </w:r>
          </w:p>
        </w:tc>
        <w:tc>
          <w:tcPr>
            <w:tcW w:w="45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Institute of Special Animal and Plant Sciences, Chinese</w:t>
            </w:r>
          </w:p>
        </w:tc>
        <w:tc>
          <w:tcPr>
            <w:tcW w:w="98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2026</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Clostridium perfringens in cattle</w:t>
            </w:r>
          </w:p>
        </w:tc>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Academy of Agricultural Sciences (Jilin Provincial</w:t>
            </w:r>
          </w:p>
        </w:tc>
        <w:tc>
          <w:tcPr>
            <w:tcW w:w="9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Science and Technology Development Program Project)</w:t>
            </w:r>
          </w:p>
        </w:tc>
        <w:tc>
          <w:tcPr>
            <w:tcW w:w="9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above projects, since the further costs involved cannot be measured reliably, the outcome or result under the research is not for sure, and the future economic benefits are uncertain, therefore, the operating entity recognized the costs incurred during the research as research and development expenses. The operating entity expects that the R&amp;D expenses will increase significantly in the future, as it continues to develop new products, enhance its existing products and technologies, and perform activities related to obtaining additional regulatory approval.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operating entity has 42 registered patents in mainland China. See “— Intellectual Property.” Faced with the ever-changing market demands, it continues to invest in acquiring new patents and technologies that are tailored to the market’s fast changing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the operating entity has a sales team of 57 employees. The operating entity provides its sales team with regular training and internally developed systems to assist them in quickly becoming proficient and productive sales personnel. The employment agreements with the sales team members include, contract period (fixed time or indefinite duration), job description, occupational hazard protection, termination provisions, and compliance with the Labor Law of the People’s Republic of China and the Labor Contract Law of the People’s Republic of China in all material aspects. The compensation package for the sales team includes vacation, social insurance, fixed base salaries and commissions based on the revenue or collection they achieve.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efforts of the sales team, the operating entity markets and sells its products through three main channels: (i) through its direct sales channel,</w:t>
      </w:r>
    </w:p>
    <w:p>
      <w:pPr>
        <w:spacing w:after="0" w:line="27" w:lineRule="exact"/>
        <w:rPr>
          <w:sz w:val="20"/>
          <w:szCs w:val="20"/>
          <w:color w:val="auto"/>
        </w:rPr>
      </w:pPr>
    </w:p>
    <w:p>
      <w:pPr>
        <w:jc w:val="both"/>
        <w:ind w:firstLine="8"/>
        <w:spacing w:after="0" w:line="255"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its distribution network, and (iii) through government tender and procurement, which account for 44.6%, 52.9%, and 2.5%, respectively, for the fiscal year ended December 31, 2025, 65.3%, 32.1 %, and 2.6%, respectively, for the fiscal year ended December 31, 2024, and 75.4%, 23.4%, and 1.2%, respectively, for the fiscal year ended December 31, 2023.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Sales Channel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 sells its products through its direct sales channel mainly by participating tender and procurement of major breeding companies and directly contracting with breeders.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Network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entity’s domestic distributors cover 29 provincial-level administrative regions of the PRC for the resale of the operating company’s products in the Chinese market. Domestic distributors market and distribute the products in the regions where they are located.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entity’s exporting distributors are local distributors in their respective countries. Through the efforts of these exporting distributors, the operating entity is able to sell its products overseas. The operating entity secures its exporting distributors mainly through Alibaba.com. The operating entity pays an annual fee to Alibaba.com. In return, Alibaba.com provides the operating entity with an online store on Alibaba.com where it can promote its products. Exporting distributors can find the operating entity and send inquiry emails by searching for product information at Alibaba.com.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operating entity has either long-term written agreements, the term of which is normally one year, or brief purchase order-based sales agreements with its distributors, based on the demand of its distributor customers. The key terms of the distributor purchase agreements include:</w:t>
      </w:r>
    </w:p>
    <w:p>
      <w:pPr>
        <w:spacing w:after="0" w:line="16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name, type, quantity, and price;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including business license, veterinary vaccines production and operation licenses, and inspection report. (The absence of any of these qualifications will result in termination of the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method and payment terms: shipping costs are typically borne by the operating entity and payment shall be made before delivery;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which is typically borne by the operating entity until delivery;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contract terms, including refunds and return of products (e.g., distributors are entitled to refunds and may return a product if the wrong product is delivered, or the product does not meet agreed upon quality standards);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solutions, including bringing a lawsuit at the local court where the distributors are located.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Tender and Procurement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Local governments are also direct-end user customers. The veterinary authority of provincial-level administrative regions government drafts an annual plan of veterinary vaccines procurement based on the animal epidemic within its territory, and purchases vaccines through a tender process. The authority arranges one or two tenders each year, which are delegated to a third-party tender agency company. There are two kinds of tenders, namely Qualification Tender and Quantity Tender. For Qualification Tender, the bidder only bids for the inclusion of the sales qualifications list and unit price of the product. For Quantity Tender, on the other hand, the bidder bids for the exact sales qualification which allow the bidder to enter into the particular procurement contract with the authority, and the unit price and quantity of the product. After the tender and bid, the company will enter into a contract with the authority or its subordinate center for animal disease control and prevention. After entering into the contract, the authority will place orders based on demand, and after delivery of the products, the company will be paid annually or semiannually. As of the date of this annual report, the operating entity is participating in two procurement contracts with two provincial and local veterinary authorities, providing Classical Swine Fever Vaccine, Live (Tissue Culture Origin), Swine Fever Vaccine, only for Government Procurement, Live (Tissue Culture Origin), and Highly Pathogenic Porcine Reproductive and Respiratory Syndrome Vaccine, Live. The key terms of procurement contracts include:</w:t>
      </w:r>
    </w:p>
    <w:p>
      <w:pPr>
        <w:spacing w:after="0" w:line="19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vaccine, quantity, unit price and total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terms, including time, location and receiver;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fee, insurance, and payment terms; Shipping costs are the responsibility of the operating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contract terms, including return of products and compensatory damages;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solutions, including bringing a lawsuit at the local court, if negotiations are unsuccessful.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 production lines are all located at their facilities in the Jilin Economic &amp; Technical Development Zone, Jilin Province, in the PRC. The operating entity produces products and stock inventory of raw materials at the facilities pursuant to the market demand, orders it receives or plans to receive, its production plan and capacity, and procurement information from its distributors. The production process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123190</wp:posOffset>
            </wp:positionV>
            <wp:extent cx="3531870" cy="1911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3187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production process is subject to continuous review and monitoring by the quality control team to ensure that finished products are of the highest quality and meet both regulatory and customer requirements.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 production lines run eight hours per day and 280 to 320 days per year. The annual production capacity of the operating entity’s manufacturing facilities in the fiscal year ended December 31, 2025 is demonstrated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Veterinary Vaccines</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Swine Vaccine</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233,045,107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 Vaccine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1,338,417,200</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Bovine and Ovine Vaccine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76,490,380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Quality and safety are always the operating entity’s core value. Reliable, safe and stable product quality is an important driving factor for maintaining market competitiveness. We believe that the operating entity has developed a sophisticated quality control management system in accordance with the requirements of Chinese laws and regulations.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quality control management system fully covers the whole process of manufacturing, which consists of three parts: raw materials and viral seeds inspection, work in process check, and product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spacing w:after="0" w:line="255" w:lineRule="auto"/>
        <w:rPr>
          <w:sz w:val="20"/>
          <w:szCs w:val="20"/>
          <w:color w:val="auto"/>
        </w:rPr>
      </w:pPr>
      <w:r>
        <w:rPr>
          <w:rFonts w:ascii="Times New Roman" w:cs="Times New Roman" w:eastAsia="Times New Roman" w:hAnsi="Times New Roman"/>
          <w:sz w:val="18"/>
          <w:szCs w:val="18"/>
          <w:color w:val="auto"/>
        </w:rPr>
        <w:t>Raw materials are inspected when they arrive the operating entity’s manufacturing facilities. The operating entity’s inspectors check their names, sizes, models, quantities, packaging, and supplier qualifications, to make sure they are in accordance with the purchasing order or receipt. After a work in process is made, it is subject to quality check. If it passes the quality check, the operating entity starts manufacturing vaccines based on the work in process. If it fails to pass the check, on the other hand, it is harmlessly disposed. The operating entity also inspects all its products before shipping them to customers.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different vaccine products require different inspections, the examinations of the operating entity’s viral seeds, works in process and products can be summarized as follows:</w:t>
      </w:r>
    </w:p>
    <w:p>
      <w:pPr>
        <w:spacing w:after="0" w:line="181"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property inspection. Quality inspector observes whether the appearance, properties, dosage form, color, and other aspects of the product comply with the quality standard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Sterility testing. The tested samples should be free from bacterial contamination.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testing. When the tested samples are injected into experimental animals, there should be no significant changes in the animals’ body temperature, appetite, and activity level.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testing. Different vaccine samples undergo different efficacy tests, such as antibody assays, animal challenge studies, etc.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 prioritizes product quality management. It is committed to strengthening the professional ethics and cultivating quality consciousness of its employees and forming a strict quality management system, which we believe is in line with international standards. However, despite the quality control management system, the operating entity cannot eliminate the risks of errors, defects, or failures. See “Risk Factors-Risks Relating to Our Business and Industry-The operating entity may fail to detect or cure defects of its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or the operating entity is not aware of any other investigations, prosecutions, disputes, claims or other proceedings in respect of quality issues, nor have we or the operating entity been penalized additionally or can foresee any penalty to be made by any related PRC government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veterinary vaccine industry is intensely competitive, subject to rapid change and significantly affected by new product introductions and other market activities of industry participants. The operating entity competes or plans to compete with manufacturers of veterinary vaccines. Some of these competitors are large, well-capitalized companies with greater market share, resources and experience than the operating entity has. As a consequence, they are able to spend more on product development, marketing, sales and other product initiatives than the operating entity can. The operating entity competes based on factors such as price, value, customer support, brand recognition, reputation, and product functionality, reliability, and compatibility.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list of the operating entity’s major competitors.</w:t>
            </w:r>
          </w:p>
        </w:tc>
        <w:tc>
          <w:tcPr>
            <w:tcW w:w="5720" w:type="dxa"/>
            <w:vAlign w:val="bottom"/>
          </w:tcPr>
          <w:p>
            <w:pPr>
              <w:spacing w:after="0"/>
              <w:rPr>
                <w:sz w:val="20"/>
                <w:szCs w:val="20"/>
                <w:color w:val="auto"/>
              </w:rPr>
            </w:pPr>
          </w:p>
        </w:tc>
      </w:tr>
      <w:tr>
        <w:trPr>
          <w:trHeight w:val="4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Aspects of Competition</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Jinyu Bio-Technology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Vaccines for Swine, Poultry, Cattle, Sheep and Goat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Keqian Biology Co., Ltd.</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Vaccines for Swine and Poultry</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Shenlian Biomedical Co., Ltd.</w:t>
            </w:r>
          </w:p>
        </w:tc>
        <w:tc>
          <w:tcPr>
            <w:tcW w:w="5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Vaccines for Swine</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Yongshun Biopharmaceutical Co., Ltd.</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Vaccines for Swine and Poultry</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Haili Biotechnology Co., Ltd.</w:t>
            </w:r>
          </w:p>
        </w:tc>
        <w:tc>
          <w:tcPr>
            <w:tcW w:w="5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Vaccines for Swine and Poultry</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can be no assurance that the operating entity will be able to continue to compete successfully in the future, we believe that the operating entity can compete successfully with these companies by offering products of better quality at comparable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entity’s business is dependent on a combination of trademarks, patents, domain names, and other proprietary rights in order to protect the operating entity’s intellectual property rights. As of the date of this annual report, the operating entity has 10 registered trademarks, 42 registered patents, three domain names and six registered copyrights in China. Set forth below is a detailed description of the operating entity’s registered intellectual properties.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Patent Publication</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Type of Patent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8"/>
        </w:trPr>
        <w:tc>
          <w:tcPr>
            <w:tcW w:w="18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ZL201410109323.4</w:t>
            </w:r>
          </w:p>
        </w:tc>
        <w:tc>
          <w:tcPr>
            <w:tcW w:w="12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Preparation Methods and Products of Live Pseudorabies</w:t>
            </w: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24, 2016</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23,</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Vaccine</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ZL201410150556.9</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H9N2 Avian Influenza Virus Strain, the Inactivated Vaccine</w:t>
            </w:r>
          </w:p>
        </w:tc>
        <w:tc>
          <w:tcPr>
            <w:tcW w:w="1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May 11, 2016</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10, 2036</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and its Application</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Zl201510063873.1</w:t>
            </w:r>
          </w:p>
        </w:tc>
        <w:tc>
          <w:tcPr>
            <w:tcW w:w="4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Vaccine Adjuvant and its Application on the Preparation of</w:t>
            </w:r>
          </w:p>
        </w:tc>
        <w:tc>
          <w:tcPr>
            <w:tcW w:w="18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November 10, 2017</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November 9,</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Newcastle Disease Inactivated Vaccine</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ZL201821162503.9</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 Fixing Strap of Temperature Transmitter for Livestock</w:t>
            </w:r>
          </w:p>
        </w:tc>
        <w:tc>
          <w:tcPr>
            <w:tcW w:w="1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January 18, 2019</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17,</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Temperature Measurement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ZL201821162650.6</w:t>
            </w: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 Aseptic Sampling Device for Bioreactors</w:t>
            </w: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4, 2019</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 2029</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ZL201821162656.3</w:t>
            </w:r>
          </w:p>
        </w:tc>
        <w:tc>
          <w:tcPr>
            <w:tcW w:w="45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 Fixing Device for Experimental Animals</w:t>
            </w:r>
          </w:p>
        </w:tc>
        <w:tc>
          <w:tcPr>
            <w:tcW w:w="1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September 3, 2019</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September 2,</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ZL201821162502.4</w:t>
            </w:r>
          </w:p>
        </w:tc>
        <w:tc>
          <w:tcPr>
            <w:tcW w:w="4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 Temperature Adjustable Mouse Restrainer for Intravenous</w:t>
            </w:r>
          </w:p>
        </w:tc>
        <w:tc>
          <w:tcPr>
            <w:tcW w:w="18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August 30, 2019</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29,</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Injections</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ZL201510320280.9</w:t>
            </w:r>
          </w:p>
        </w:tc>
        <w:tc>
          <w:tcPr>
            <w:tcW w:w="45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Porcine Circovirus Type 2 (Pcv2) Strain, the Inactivated</w:t>
            </w:r>
          </w:p>
        </w:tc>
        <w:tc>
          <w:tcPr>
            <w:tcW w:w="1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September 7, 2018</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September 6,</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Vaccine and its Application</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16"/>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ZL201521092537.1</w:t>
            </w: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 Chicken Embryo Allantoic Fluid Collector</w:t>
            </w: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15, 2016</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14, 2026</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ZL201521092546.0</w:t>
            </w: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Liquid Tank Filter</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25, 2016</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2026</w:t>
            </w: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ZL201711107884.0</w:t>
            </w:r>
          </w:p>
        </w:tc>
        <w:tc>
          <w:tcPr>
            <w:tcW w:w="4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Porcine Rotavirus Strain, the Inactivated Vaccine and its</w:t>
            </w:r>
          </w:p>
        </w:tc>
        <w:tc>
          <w:tcPr>
            <w:tcW w:w="18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June 15, 2021</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June 14, 2041</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Application</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ZL202021428573.1</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A Sealed Vaccine Refrigerator</w:t>
            </w:r>
          </w:p>
        </w:tc>
        <w:tc>
          <w:tcPr>
            <w:tcW w:w="18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April 30, 2021</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29,</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ZL202021300518.4</w:t>
            </w:r>
          </w:p>
        </w:tc>
        <w:tc>
          <w:tcPr>
            <w:tcW w:w="45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An Easy-to-Transport Receiving Cart for Vaccine Production</w:t>
            </w:r>
          </w:p>
        </w:tc>
        <w:tc>
          <w:tcPr>
            <w:tcW w:w="18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March 16, 2021</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15,</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ZL202021302199.0</w:t>
            </w: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Make-Up Tank for Vaccine Production</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18, 2021</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r>
      <w:tr>
        <w:trPr>
          <w:trHeight w:val="216"/>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ZL202021297863.7</w:t>
            </w: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Water Bath for Vaccine Production</w:t>
            </w: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18, 2021</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ZL202021598646.1</w:t>
            </w:r>
          </w:p>
        </w:tc>
        <w:tc>
          <w:tcPr>
            <w:tcW w:w="45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An Angle Adjustable Low-Temperature Storage Device for</w:t>
            </w:r>
          </w:p>
        </w:tc>
        <w:tc>
          <w:tcPr>
            <w:tcW w:w="1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May 18, 2021</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17, 2031</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Vaccine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ZL202021599219.5</w:t>
            </w:r>
          </w:p>
        </w:tc>
        <w:tc>
          <w:tcPr>
            <w:tcW w:w="4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An Anti-Collision Transport and Storage Device for</w:t>
            </w:r>
          </w:p>
        </w:tc>
        <w:tc>
          <w:tcPr>
            <w:tcW w:w="18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May 18, 2021</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17, 2031</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Veterinary Vaccine</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ZL202120600080.X</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 Sealer for Discharge Pipe</w:t>
            </w:r>
          </w:p>
        </w:tc>
        <w:tc>
          <w:tcPr>
            <w:tcW w:w="18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October 15, 2021</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October 14,</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ZL202120616940.9</w:t>
            </w:r>
          </w:p>
        </w:tc>
        <w:tc>
          <w:tcPr>
            <w:tcW w:w="45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 Steam Sterilizer</w:t>
            </w:r>
          </w:p>
        </w:tc>
        <w:tc>
          <w:tcPr>
            <w:tcW w:w="18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December 14, 2021</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December 13,</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ZL202120630917.5</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 Foot-Operated Pressurization Device For 10,000 Ml Bottle</w:t>
            </w:r>
          </w:p>
        </w:tc>
        <w:tc>
          <w:tcPr>
            <w:tcW w:w="18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November 9, 2021</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November 8,</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ZL202120655608.3</w:t>
            </w:r>
          </w:p>
        </w:tc>
        <w:tc>
          <w:tcPr>
            <w:tcW w:w="45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A Multi-Slot Egg Candler</w:t>
            </w:r>
          </w:p>
        </w:tc>
        <w:tc>
          <w:tcPr>
            <w:tcW w:w="18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November 23, 2021</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198"/>
        </w:trPr>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ZL202120641694.2</w:t>
            </w:r>
          </w:p>
        </w:tc>
        <w:tc>
          <w:tcPr>
            <w:tcW w:w="4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An Easy-To-Use Fertile Egg Candler</w:t>
            </w:r>
          </w:p>
        </w:tc>
        <w:tc>
          <w:tcPr>
            <w:tcW w:w="18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October 15, 2021</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October 14,</w:t>
            </w: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ZL202021428550.0</w:t>
            </w: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High-Volume Mixer for Veterinary Disinfectant</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23, 2021</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Utility Model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22, 2031</w:t>
            </w:r>
          </w:p>
        </w:tc>
      </w:tr>
      <w:tr>
        <w:trPr>
          <w:trHeight w:val="655"/>
        </w:trPr>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ZL202120651166.5</w:t>
            </w:r>
          </w:p>
        </w:tc>
        <w:tc>
          <w:tcPr>
            <w:tcW w:w="4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Flame Sterilizer for Low Volume Glasswares</w:t>
            </w:r>
          </w:p>
        </w:tc>
        <w:tc>
          <w:tcPr>
            <w:tcW w:w="18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 2021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March 30, 2031</w:t>
            </w:r>
          </w:p>
        </w:tc>
      </w:tr>
      <w:tr>
        <w:trPr>
          <w:trHeight w:val="198"/>
        </w:trPr>
        <w:tc>
          <w:tcPr>
            <w:tcW w:w="6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ZL202222003543.1   A Low-temperature Storage Device for Feline Herpesvirus</w:t>
            </w:r>
          </w:p>
        </w:tc>
        <w:tc>
          <w:tcPr>
            <w:tcW w:w="18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 2022</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July 31, 2032</w:t>
            </w:r>
          </w:p>
        </w:tc>
      </w:tr>
      <w:tr>
        <w:trPr>
          <w:trHeight w:val="234"/>
        </w:trPr>
        <w:tc>
          <w:tcPr>
            <w:tcW w:w="1620" w:type="dxa"/>
            <w:vAlign w:val="bottom"/>
          </w:tcPr>
          <w:p>
            <w:pPr>
              <w:spacing w:after="0"/>
              <w:rPr>
                <w:sz w:val="20"/>
                <w:szCs w:val="20"/>
                <w:color w:val="auto"/>
              </w:rPr>
            </w:pPr>
          </w:p>
        </w:tc>
        <w:tc>
          <w:tcPr>
            <w:tcW w:w="4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4"/>
              </w:rPr>
              <w:t>Vaccine</w:t>
            </w: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ZL202222022892.8</w:t>
            </w:r>
          </w:p>
        </w:tc>
        <w:tc>
          <w:tcPr>
            <w:tcW w:w="4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A Vessel for Culturing Cat Parvovirus</w:t>
            </w:r>
          </w:p>
        </w:tc>
        <w:tc>
          <w:tcPr>
            <w:tcW w:w="18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August 3, 2022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2, 2032</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ZL202123045827.9</w:t>
            </w:r>
          </w:p>
        </w:tc>
        <w:tc>
          <w:tcPr>
            <w:tcW w:w="4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Puncher for the Agarose Diffusion Method</w:t>
            </w:r>
          </w:p>
        </w:tc>
        <w:tc>
          <w:tcPr>
            <w:tcW w:w="1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December 6,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December 5, 2031</w:t>
            </w: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ZL202123039252.X</w:t>
            </w:r>
          </w:p>
        </w:tc>
        <w:tc>
          <w:tcPr>
            <w:tcW w:w="448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A Device for Cleaning the Internal Mechanism of Small</w:t>
            </w:r>
          </w:p>
        </w:tc>
        <w:tc>
          <w:tcPr>
            <w:tcW w:w="182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December 6, 2021</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December 5, 2031</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Fermentation Tanks</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ZL202122501249.9</w:t>
            </w:r>
          </w:p>
        </w:tc>
        <w:tc>
          <w:tcPr>
            <w:tcW w:w="4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 Liquid Dispenser with Damping Structure</w:t>
            </w: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October 18,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October 17, 2031</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ZL202122490625.9   A Cell Culture Bottle that Can be Sampled Multiple Times</w:t>
            </w:r>
          </w:p>
        </w:tc>
        <w:tc>
          <w:tcPr>
            <w:tcW w:w="18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October 14, 2021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October 13, 2031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ZL202021430170.0</w:t>
            </w:r>
          </w:p>
        </w:tc>
        <w:tc>
          <w:tcPr>
            <w:tcW w:w="4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 Dilution Device for Veterinary Vaccine</w:t>
            </w: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July 23,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July 22, 2031</w:t>
            </w:r>
          </w:p>
        </w:tc>
      </w:tr>
      <w:tr>
        <w:trPr>
          <w:trHeight w:val="198"/>
        </w:trPr>
        <w:tc>
          <w:tcPr>
            <w:tcW w:w="6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ZL202110408829.5   An Easy-to-operate Double-container Device and Method</w:t>
            </w:r>
          </w:p>
        </w:tc>
        <w:tc>
          <w:tcPr>
            <w:tcW w:w="182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April 16, 2021</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April 15, 2041</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the Proportional Dilution of Solutions</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ZL202110409020.4  A Hand-held Shell Puncher for Embryonated Chicken Eggs</w:t>
            </w: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April 16,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15, 2041</w:t>
            </w:r>
          </w:p>
        </w:tc>
      </w:tr>
      <w:tr>
        <w:trPr>
          <w:trHeight w:val="198"/>
        </w:trPr>
        <w:tc>
          <w:tcPr>
            <w:tcW w:w="6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ZL202210137800.2  A Portable Device and Method for Detecting Mycoplasma in</w:t>
            </w:r>
          </w:p>
        </w:tc>
        <w:tc>
          <w:tcPr>
            <w:tcW w:w="182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February 15, 2022</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February 14, 2042</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Chicken Serum</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ZL202111033109.1</w:t>
            </w:r>
          </w:p>
        </w:tc>
        <w:tc>
          <w:tcPr>
            <w:tcW w:w="448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A Duck Tembusu Virus Live Vaccine Lyophilized</w:t>
            </w:r>
          </w:p>
        </w:tc>
        <w:tc>
          <w:tcPr>
            <w:tcW w:w="18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December 19, 2023</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December 18, 2043</w:t>
            </w:r>
          </w:p>
        </w:tc>
      </w:tr>
      <w:tr>
        <w:trPr>
          <w:trHeight w:val="234"/>
        </w:trPr>
        <w:tc>
          <w:tcPr>
            <w:tcW w:w="16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Protectant: Preparation Method and Application</w:t>
            </w: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ZL202210137552.1</w:t>
            </w:r>
          </w:p>
        </w:tc>
        <w:tc>
          <w:tcPr>
            <w:tcW w:w="4480" w:type="dxa"/>
            <w:vAlign w:val="bottom"/>
            <w:shd w:val="clear" w:color="auto" w:fill="CCEEFF"/>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A dilution device for the toxic strain in the research of</w:t>
            </w:r>
          </w:p>
        </w:tc>
        <w:tc>
          <w:tcPr>
            <w:tcW w:w="182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September 13, 2024</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September 12, 2044</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pseudorabies virus vaccine</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ZL202210673698.8</w:t>
            </w:r>
          </w:p>
        </w:tc>
        <w:tc>
          <w:tcPr>
            <w:tcW w:w="448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An Evaluation Method for Virus Adsorption Capacity of</w:t>
            </w:r>
          </w:p>
        </w:tc>
        <w:tc>
          <w:tcPr>
            <w:tcW w:w="18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February 21, 2025</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February 20, 2045</w:t>
            </w:r>
          </w:p>
        </w:tc>
      </w:tr>
      <w:tr>
        <w:trPr>
          <w:trHeight w:val="234"/>
        </w:trPr>
        <w:tc>
          <w:tcPr>
            <w:tcW w:w="1620" w:type="dxa"/>
            <w:vAlign w:val="bottom"/>
          </w:tcPr>
          <w:p>
            <w:pPr>
              <w:spacing w:after="0"/>
              <w:rPr>
                <w:sz w:val="20"/>
                <w:szCs w:val="20"/>
                <w:color w:val="auto"/>
              </w:rPr>
            </w:pPr>
          </w:p>
        </w:tc>
        <w:tc>
          <w:tcPr>
            <w:tcW w:w="4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Purification Media</w:t>
            </w: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ZL202420807181.8</w:t>
            </w:r>
          </w:p>
        </w:tc>
        <w:tc>
          <w:tcPr>
            <w:tcW w:w="4480" w:type="dxa"/>
            <w:vAlign w:val="bottom"/>
            <w:shd w:val="clear" w:color="auto" w:fill="CCEEFF"/>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A Column-Loading Device for Use in Purification</w:t>
            </w:r>
          </w:p>
        </w:tc>
        <w:tc>
          <w:tcPr>
            <w:tcW w:w="182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March 28, 2025</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March 27, 2045</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Instruments</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ZL202211262956.X</w:t>
            </w:r>
          </w:p>
        </w:tc>
        <w:tc>
          <w:tcPr>
            <w:tcW w:w="44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A lyophilized heat-resistant protectant for vaccines, its</w:t>
            </w:r>
          </w:p>
        </w:tc>
        <w:tc>
          <w:tcPr>
            <w:tcW w:w="18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April 22, 2025</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April 21, 2045</w:t>
            </w:r>
          </w:p>
        </w:tc>
      </w:tr>
      <w:tr>
        <w:trPr>
          <w:trHeight w:val="234"/>
        </w:trPr>
        <w:tc>
          <w:tcPr>
            <w:tcW w:w="1620" w:type="dxa"/>
            <w:vAlign w:val="bottom"/>
          </w:tcPr>
          <w:p>
            <w:pPr>
              <w:spacing w:after="0"/>
              <w:rPr>
                <w:sz w:val="20"/>
                <w:szCs w:val="20"/>
                <w:color w:val="auto"/>
              </w:rPr>
            </w:pPr>
          </w:p>
        </w:tc>
        <w:tc>
          <w:tcPr>
            <w:tcW w:w="4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preparation method and application</w:t>
            </w: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ZL2024 21662496.4</w:t>
            </w:r>
          </w:p>
        </w:tc>
        <w:tc>
          <w:tcPr>
            <w:tcW w:w="4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A colony collection device</w:t>
            </w:r>
          </w:p>
        </w:tc>
        <w:tc>
          <w:tcPr>
            <w:tcW w:w="18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May 9, 2025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Utility Model</w:t>
            </w:r>
          </w:p>
        </w:tc>
        <w:tc>
          <w:tcPr>
            <w:tcW w:w="1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May 8, 2045</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ZL202310673801.3</w:t>
            </w:r>
          </w:p>
        </w:tc>
        <w:tc>
          <w:tcPr>
            <w:tcW w:w="4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 porcine rotavirus detection kit</w:t>
            </w:r>
          </w:p>
        </w:tc>
        <w:tc>
          <w:tcPr>
            <w:tcW w:w="1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January 23, 2026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22, 2046</w:t>
            </w:r>
          </w:p>
        </w:tc>
      </w:tr>
      <w:tr>
        <w:trPr>
          <w:trHeight w:val="198"/>
        </w:trPr>
        <w:tc>
          <w:tcPr>
            <w:tcW w:w="6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ZL202510940017.3  A recombinant chicken antimicrobial peptide targeting drug-</w:t>
            </w:r>
          </w:p>
        </w:tc>
        <w:tc>
          <w:tcPr>
            <w:tcW w:w="182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February 27, 2026</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Invention</w:t>
            </w:r>
          </w:p>
        </w:tc>
        <w:tc>
          <w:tcPr>
            <w:tcW w:w="182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February 26, 2046</w:t>
            </w:r>
          </w:p>
        </w:tc>
      </w:tr>
      <w:tr>
        <w:trPr>
          <w:trHeight w:val="234"/>
        </w:trPr>
        <w:tc>
          <w:tcPr>
            <w:tcW w:w="16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resistant Staphylococcus aureus</w:t>
            </w:r>
          </w:p>
        </w:tc>
        <w:tc>
          <w:tcPr>
            <w:tcW w:w="1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655"/>
        </w:trPr>
        <w:tc>
          <w:tcPr>
            <w:tcW w:w="16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c>
          <w:tcPr>
            <w:tcW w:w="1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Registration No.</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Date</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Classes</w:t>
            </w:r>
          </w:p>
        </w:tc>
        <w:tc>
          <w:tcPr>
            <w:tcW w:w="10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33129332</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9"/>
              </w:rPr>
              <w:t>正无泄</w:t>
            </w: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7, 2019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6, 2029</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50312241</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line="206" w:lineRule="exact"/>
              <w:rPr>
                <w:sz w:val="20"/>
                <w:szCs w:val="20"/>
                <w:color w:val="auto"/>
              </w:rPr>
            </w:pPr>
            <w:r>
              <w:rPr>
                <w:rFonts w:ascii="SimSun" w:cs="SimSun" w:eastAsia="SimSun" w:hAnsi="SimSun"/>
                <w:sz w:val="18"/>
                <w:szCs w:val="18"/>
                <w:color w:val="auto"/>
                <w:w w:val="99"/>
              </w:rPr>
              <w:t>正圆瑧</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7, 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2031</w:t>
            </w:r>
          </w:p>
        </w:tc>
      </w:tr>
      <w:tr>
        <w:trPr>
          <w:trHeight w:val="239"/>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538324</w:t>
            </w: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4"/>
              </w:rPr>
              <w:t>吉生</w:t>
            </w:r>
          </w:p>
        </w:tc>
        <w:tc>
          <w:tcPr>
            <w:tcW w:w="2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30, 1990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29, 2030</w:t>
            </w: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50346346</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line="206" w:lineRule="exact"/>
              <w:rPr>
                <w:sz w:val="20"/>
                <w:szCs w:val="20"/>
                <w:color w:val="auto"/>
              </w:rPr>
            </w:pPr>
            <w:r>
              <w:rPr>
                <w:rFonts w:ascii="SimSun" w:cs="SimSun" w:eastAsia="SimSun" w:hAnsi="SimSun"/>
                <w:sz w:val="18"/>
                <w:szCs w:val="18"/>
                <w:color w:val="auto"/>
                <w:w w:val="99"/>
              </w:rPr>
              <w:t>正无梭</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7, 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2031</w:t>
            </w:r>
          </w:p>
        </w:tc>
      </w:tr>
      <w:tr>
        <w:trPr>
          <w:trHeight w:val="22"/>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50331020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9"/>
              </w:rPr>
              <w:t>正无蓝</w:t>
            </w:r>
          </w:p>
        </w:tc>
        <w:tc>
          <w:tcPr>
            <w:tcW w:w="2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7, 2021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6, 2031</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40734059</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7G</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14, 2020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2030</w:t>
            </w:r>
          </w:p>
        </w:tc>
      </w:tr>
      <w:tr>
        <w:trPr>
          <w:trHeight w:val="63"/>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33129152</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9"/>
              </w:rPr>
              <w:t>正伪净</w:t>
            </w:r>
          </w:p>
        </w:tc>
        <w:tc>
          <w:tcPr>
            <w:tcW w:w="2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14, 2019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13, 2029</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33148263</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line="206" w:lineRule="exact"/>
              <w:rPr>
                <w:sz w:val="20"/>
                <w:szCs w:val="20"/>
                <w:color w:val="auto"/>
              </w:rPr>
            </w:pPr>
            <w:r>
              <w:rPr>
                <w:rFonts w:ascii="SimSun" w:cs="SimSun" w:eastAsia="SimSun" w:hAnsi="SimSun"/>
                <w:sz w:val="18"/>
                <w:szCs w:val="18"/>
                <w:color w:val="auto"/>
                <w:w w:val="99"/>
              </w:rPr>
              <w:t>正圆安</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21, 2019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2029</w:t>
            </w:r>
          </w:p>
        </w:tc>
      </w:tr>
      <w:tr>
        <w:trPr>
          <w:trHeight w:val="239"/>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32030808</w:t>
            </w: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7"/>
              </w:rPr>
              <w:t>正业生物</w:t>
            </w:r>
          </w:p>
        </w:tc>
        <w:tc>
          <w:tcPr>
            <w:tcW w:w="2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28, 2022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27, 2032</w:t>
            </w:r>
          </w:p>
        </w:tc>
      </w:tr>
      <w:tr>
        <w:trPr>
          <w:trHeight w:val="265"/>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79000991</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line="206" w:lineRule="exact"/>
              <w:rPr>
                <w:sz w:val="20"/>
                <w:szCs w:val="20"/>
                <w:color w:val="auto"/>
              </w:rPr>
            </w:pPr>
            <w:r>
              <w:rPr>
                <w:rFonts w:ascii="SimSun" w:cs="SimSun" w:eastAsia="SimSun" w:hAnsi="SimSun"/>
                <w:sz w:val="18"/>
                <w:szCs w:val="18"/>
                <w:color w:val="auto"/>
                <w:w w:val="99"/>
              </w:rPr>
              <w:t>正副安</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7,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6, 2035</w:t>
            </w:r>
          </w:p>
        </w:tc>
      </w:tr>
      <w:tr>
        <w:trPr>
          <w:trHeight w:val="46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-2176780</wp:posOffset>
            </wp:positionV>
            <wp:extent cx="471170" cy="1903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170" cy="19030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detailed description of the operating entity’s domain names.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Domain Name.</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Registration Date</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jlzybio.com</w:t>
            </w:r>
          </w:p>
        </w:tc>
        <w:tc>
          <w:tcPr>
            <w:tcW w:w="1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14, 2018</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14, 2026</w:t>
            </w:r>
          </w:p>
        </w:tc>
      </w:tr>
      <w:tr>
        <w:trPr>
          <w:trHeight w:val="239"/>
        </w:trPr>
        <w:tc>
          <w:tcPr>
            <w:tcW w:w="3740" w:type="dxa"/>
            <w:vAlign w:val="bottom"/>
            <w:gridSpan w:val="2"/>
          </w:tcPr>
          <w:p>
            <w:pPr>
              <w:spacing w:after="0" w:line="219" w:lineRule="exact"/>
              <w:rPr>
                <w:sz w:val="20"/>
                <w:szCs w:val="20"/>
                <w:color w:val="auto"/>
              </w:rPr>
            </w:pPr>
            <w:r>
              <w:rPr>
                <w:rFonts w:ascii="SimSun" w:cs="SimSun" w:eastAsia="SimSun" w:hAnsi="SimSun"/>
                <w:sz w:val="18"/>
                <w:szCs w:val="18"/>
                <w:color w:val="auto"/>
              </w:rPr>
              <w:t>正业生物</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中国</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May 17, 2018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2026</w:t>
            </w:r>
          </w:p>
        </w:tc>
      </w:tr>
      <w:tr>
        <w:trPr>
          <w:trHeight w:val="22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jlzybio.cn</w:t>
            </w:r>
          </w:p>
        </w:tc>
        <w:tc>
          <w:tcPr>
            <w:tcW w:w="3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14, 2018</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14, 2026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entity owns six copyrights, the protection period of which lasts for 50 years from the first publication date of the work.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Copyright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Publication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Copyright</w:t>
            </w:r>
          </w:p>
        </w:tc>
      </w:tr>
      <w:tr>
        <w:trPr>
          <w:trHeight w:val="24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Copyright No.</w:t>
            </w:r>
          </w:p>
        </w:tc>
        <w:tc>
          <w:tcPr>
            <w:tcW w:w="12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Copyright Name</w:t>
            </w:r>
          </w:p>
        </w:tc>
        <w:tc>
          <w:tcPr>
            <w:tcW w:w="1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Copyright</w:t>
            </w:r>
          </w:p>
        </w:tc>
        <w:tc>
          <w:tcPr>
            <w:tcW w:w="120" w:type="dxa"/>
            <w:vAlign w:val="bottom"/>
            <w:tcBorders>
              <w:bottom w:val="single" w:sz="8" w:color="CCEEFF"/>
            </w:tcBorders>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 Date</w:t>
            </w:r>
          </w:p>
        </w:tc>
      </w:tr>
      <w:tr>
        <w:trPr>
          <w:trHeight w:val="243"/>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00816517</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00"/>
              <w:spacing w:after="0" w:line="206" w:lineRule="exact"/>
              <w:rPr>
                <w:sz w:val="20"/>
                <w:szCs w:val="20"/>
                <w:color w:val="auto"/>
              </w:rPr>
            </w:pPr>
            <w:r>
              <w:rPr>
                <w:rFonts w:ascii="SimSun" w:cs="SimSun" w:eastAsia="SimSun" w:hAnsi="SimSun"/>
                <w:sz w:val="18"/>
                <w:szCs w:val="18"/>
                <w:color w:val="auto"/>
                <w:w w:val="98"/>
              </w:rPr>
              <w:t>抗非护猪保生产</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12, 2019</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2019</w:t>
            </w:r>
          </w:p>
        </w:tc>
      </w:tr>
      <w:tr>
        <w:trPr>
          <w:trHeight w:val="23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00802343</w:t>
            </w:r>
          </w:p>
        </w:tc>
        <w:tc>
          <w:tcPr>
            <w:tcW w:w="120" w:type="dxa"/>
            <w:vAlign w:val="bottom"/>
          </w:tcPr>
          <w:p>
            <w:pPr>
              <w:spacing w:after="0"/>
              <w:rPr>
                <w:sz w:val="20"/>
                <w:szCs w:val="20"/>
                <w:color w:val="auto"/>
              </w:rPr>
            </w:pPr>
          </w:p>
        </w:tc>
        <w:tc>
          <w:tcPr>
            <w:tcW w:w="2140" w:type="dxa"/>
            <w:vAlign w:val="bottom"/>
            <w:gridSpan w:val="2"/>
          </w:tcPr>
          <w:p>
            <w:pPr>
              <w:jc w:val="center"/>
              <w:ind w:right="120"/>
              <w:spacing w:after="0" w:line="206" w:lineRule="exact"/>
              <w:rPr>
                <w:sz w:val="20"/>
                <w:szCs w:val="20"/>
                <w:color w:val="auto"/>
              </w:rPr>
            </w:pPr>
            <w:r>
              <w:rPr>
                <w:rFonts w:ascii="SimSun" w:cs="SimSun" w:eastAsia="SimSun" w:hAnsi="SimSun"/>
                <w:sz w:val="18"/>
                <w:szCs w:val="18"/>
                <w:color w:val="auto"/>
                <w:w w:val="97"/>
              </w:rPr>
              <w:t>正业生物</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8, 2018</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2019</w:t>
            </w:r>
          </w:p>
        </w:tc>
      </w:tr>
      <w:tr>
        <w:trPr>
          <w:trHeight w:val="247"/>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00793306</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00"/>
              <w:spacing w:after="0" w:line="206" w:lineRule="exact"/>
              <w:rPr>
                <w:sz w:val="20"/>
                <w:szCs w:val="20"/>
                <w:color w:val="auto"/>
              </w:rPr>
            </w:pPr>
            <w:r>
              <w:rPr>
                <w:rFonts w:ascii="SimSun" w:cs="SimSun" w:eastAsia="SimSun" w:hAnsi="SimSun"/>
                <w:sz w:val="18"/>
                <w:szCs w:val="18"/>
                <w:color w:val="auto"/>
                <w:w w:val="96"/>
              </w:rPr>
              <w:t>正喘停</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8, 2018</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2019</w:t>
            </w:r>
          </w:p>
        </w:tc>
      </w:tr>
      <w:tr>
        <w:trPr>
          <w:trHeight w:val="23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01338417</w:t>
            </w:r>
          </w:p>
        </w:tc>
        <w:tc>
          <w:tcPr>
            <w:tcW w:w="120" w:type="dxa"/>
            <w:vAlign w:val="bottom"/>
          </w:tcPr>
          <w:p>
            <w:pPr>
              <w:spacing w:after="0"/>
              <w:rPr>
                <w:sz w:val="20"/>
                <w:szCs w:val="20"/>
                <w:color w:val="auto"/>
              </w:rPr>
            </w:pPr>
          </w:p>
        </w:tc>
        <w:tc>
          <w:tcPr>
            <w:tcW w:w="2140" w:type="dxa"/>
            <w:vAlign w:val="bottom"/>
            <w:gridSpan w:val="2"/>
          </w:tcPr>
          <w:p>
            <w:pPr>
              <w:jc w:val="center"/>
              <w:ind w:right="100"/>
              <w:spacing w:after="0" w:line="206" w:lineRule="exact"/>
              <w:rPr>
                <w:sz w:val="20"/>
                <w:szCs w:val="20"/>
                <w:color w:val="auto"/>
              </w:rPr>
            </w:pPr>
            <w:r>
              <w:rPr>
                <w:rFonts w:ascii="SimSun" w:cs="SimSun" w:eastAsia="SimSun" w:hAnsi="SimSun"/>
                <w:sz w:val="18"/>
                <w:szCs w:val="18"/>
                <w:color w:val="auto"/>
                <w:w w:val="96"/>
              </w:rPr>
              <w:t>禽正好</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39"/>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00793307</w:t>
            </w:r>
          </w:p>
        </w:tc>
        <w:tc>
          <w:tcPr>
            <w:tcW w:w="1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7"/>
              </w:rPr>
              <w:t>正业生物科技让动物更美</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8, 2018</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2019</w:t>
            </w:r>
          </w:p>
        </w:tc>
      </w:tr>
      <w:tr>
        <w:trPr>
          <w:trHeight w:val="252"/>
        </w:trPr>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20"/>
              <w:spacing w:after="0" w:line="206" w:lineRule="exact"/>
              <w:rPr>
                <w:sz w:val="20"/>
                <w:szCs w:val="20"/>
                <w:color w:val="auto"/>
              </w:rPr>
            </w:pPr>
            <w:r>
              <w:rPr>
                <w:rFonts w:ascii="SimSun" w:cs="SimSun" w:eastAsia="SimSun" w:hAnsi="SimSun"/>
                <w:sz w:val="18"/>
                <w:szCs w:val="18"/>
                <w:color w:val="auto"/>
                <w:w w:val="99"/>
              </w:rPr>
              <w:t>好</w:t>
            </w:r>
          </w:p>
        </w:tc>
        <w:tc>
          <w:tcPr>
            <w:tcW w:w="2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r>
      <w:tr>
        <w:trPr>
          <w:trHeight w:val="23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01338418</w:t>
            </w:r>
          </w:p>
        </w:tc>
        <w:tc>
          <w:tcPr>
            <w:tcW w:w="120" w:type="dxa"/>
            <w:vAlign w:val="bottom"/>
          </w:tcPr>
          <w:p>
            <w:pPr>
              <w:spacing w:after="0"/>
              <w:rPr>
                <w:sz w:val="20"/>
                <w:szCs w:val="20"/>
                <w:color w:val="auto"/>
              </w:rPr>
            </w:pPr>
          </w:p>
        </w:tc>
        <w:tc>
          <w:tcPr>
            <w:tcW w:w="2140" w:type="dxa"/>
            <w:vAlign w:val="bottom"/>
            <w:gridSpan w:val="2"/>
          </w:tcPr>
          <w:p>
            <w:pPr>
              <w:jc w:val="center"/>
              <w:ind w:right="100"/>
              <w:spacing w:after="0" w:line="206" w:lineRule="exact"/>
              <w:rPr>
                <w:sz w:val="20"/>
                <w:szCs w:val="20"/>
                <w:color w:val="auto"/>
              </w:rPr>
            </w:pPr>
            <w:r>
              <w:rPr>
                <w:rFonts w:ascii="SimSun" w:cs="SimSun" w:eastAsia="SimSun" w:hAnsi="SimSun"/>
                <w:sz w:val="18"/>
                <w:szCs w:val="18"/>
                <w:color w:val="auto"/>
                <w:w w:val="96"/>
              </w:rPr>
              <w:t>鸭正步</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47"/>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00210642</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00"/>
              <w:spacing w:after="0" w:line="206" w:lineRule="exact"/>
              <w:rPr>
                <w:sz w:val="20"/>
                <w:szCs w:val="20"/>
                <w:color w:val="auto"/>
              </w:rPr>
            </w:pPr>
            <w:r>
              <w:rPr>
                <w:rFonts w:ascii="SimSun" w:cs="SimSun" w:eastAsia="SimSun" w:hAnsi="SimSun"/>
                <w:sz w:val="18"/>
                <w:szCs w:val="18"/>
                <w:color w:val="auto"/>
                <w:w w:val="96"/>
              </w:rPr>
              <w:t>鼻正康</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19, 2024</w:t>
            </w:r>
          </w:p>
        </w:tc>
      </w:tr>
      <w:tr>
        <w:trPr>
          <w:trHeight w:val="23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00238001</w:t>
            </w:r>
          </w:p>
        </w:tc>
        <w:tc>
          <w:tcPr>
            <w:tcW w:w="120" w:type="dxa"/>
            <w:vAlign w:val="bottom"/>
          </w:tcPr>
          <w:p>
            <w:pPr>
              <w:spacing w:after="0"/>
              <w:rPr>
                <w:sz w:val="20"/>
                <w:szCs w:val="20"/>
                <w:color w:val="auto"/>
              </w:rPr>
            </w:pPr>
          </w:p>
        </w:tc>
        <w:tc>
          <w:tcPr>
            <w:tcW w:w="2140" w:type="dxa"/>
            <w:vAlign w:val="bottom"/>
            <w:gridSpan w:val="2"/>
          </w:tcPr>
          <w:p>
            <w:pPr>
              <w:jc w:val="center"/>
              <w:ind w:right="100"/>
              <w:spacing w:after="0" w:line="206" w:lineRule="exact"/>
              <w:rPr>
                <w:sz w:val="20"/>
                <w:szCs w:val="20"/>
                <w:color w:val="auto"/>
              </w:rPr>
            </w:pPr>
            <w:r>
              <w:rPr>
                <w:rFonts w:ascii="SimSun" w:cs="SimSun" w:eastAsia="SimSun" w:hAnsi="SimSun"/>
                <w:sz w:val="18"/>
                <w:szCs w:val="18"/>
                <w:color w:val="auto"/>
                <w:w w:val="96"/>
              </w:rPr>
              <w:t>正喘宁</w:t>
            </w:r>
          </w:p>
        </w:tc>
        <w:tc>
          <w:tcPr>
            <w:tcW w:w="2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August 19, 2019</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2024</w:t>
            </w:r>
          </w:p>
        </w:tc>
      </w:tr>
      <w:tr>
        <w:trPr>
          <w:trHeight w:val="247"/>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00238002</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00"/>
              <w:spacing w:after="0" w:line="206" w:lineRule="exact"/>
              <w:rPr>
                <w:sz w:val="20"/>
                <w:szCs w:val="20"/>
                <w:color w:val="auto"/>
              </w:rPr>
            </w:pPr>
            <w:r>
              <w:rPr>
                <w:rFonts w:ascii="SimSun" w:cs="SimSun" w:eastAsia="SimSun" w:hAnsi="SimSun"/>
                <w:sz w:val="18"/>
                <w:szCs w:val="18"/>
                <w:color w:val="auto"/>
                <w:w w:val="96"/>
              </w:rPr>
              <w:t>正丹清</w:t>
            </w:r>
          </w:p>
        </w:tc>
        <w:tc>
          <w:tcPr>
            <w:tcW w:w="23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August 19, 2019</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12, 2024</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00238003</w:t>
            </w:r>
          </w:p>
        </w:tc>
        <w:tc>
          <w:tcPr>
            <w:tcW w:w="120" w:type="dxa"/>
            <w:vAlign w:val="bottom"/>
          </w:tcPr>
          <w:p>
            <w:pPr>
              <w:spacing w:after="0"/>
              <w:rPr>
                <w:sz w:val="20"/>
                <w:szCs w:val="20"/>
                <w:color w:val="auto"/>
              </w:rPr>
            </w:pPr>
          </w:p>
        </w:tc>
        <w:tc>
          <w:tcPr>
            <w:tcW w:w="2140" w:type="dxa"/>
            <w:vAlign w:val="bottom"/>
            <w:gridSpan w:val="2"/>
          </w:tcPr>
          <w:p>
            <w:pPr>
              <w:jc w:val="center"/>
              <w:ind w:right="100"/>
              <w:spacing w:after="0" w:line="206" w:lineRule="exact"/>
              <w:rPr>
                <w:sz w:val="20"/>
                <w:szCs w:val="20"/>
                <w:color w:val="auto"/>
              </w:rPr>
            </w:pPr>
            <w:r>
              <w:rPr>
                <w:rFonts w:ascii="SimSun" w:cs="SimSun" w:eastAsia="SimSun" w:hAnsi="SimSun"/>
                <w:sz w:val="18"/>
                <w:szCs w:val="18"/>
                <w:color w:val="auto"/>
                <w:w w:val="96"/>
              </w:rPr>
              <w:t>正喜安</w:t>
            </w:r>
          </w:p>
        </w:tc>
        <w:tc>
          <w:tcPr>
            <w:tcW w:w="2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August 19, 2019</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works of fine arts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2024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entity’s business is subject to seasonality. The seasonality is mainly due to the impact of the prevalence of animal diseases and the effect of temperature changes during different seasons on animal’s ability to resist various pathogens. Generally, with the change of seasons, especially the cooling of fall and winter, the immune ability of animal is weakened, and the prevalence of animal epidemic diseases is more likely to occur.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occurrence of animal diseases, the demand for veterinary products also increases, therefore, the veterinary product industry is subject to seasonality to some extent. However, with the mass production and conglomeration of downstream companies, raising awareness of epidemic prevention of livestock farmers, and enhanced planning and routinization of epidemic prevention, the seasonality of veterinary product industry is gradually attenuating.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2024, and 2023, the operating entity had 269, 277, and 286 full-time employees, respectively.</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operating entity’s employees by function as of December 31, 2025:</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operating entity’s success depends on its ability to attract, motivate, train and retain qualified personnel. We believe the operating entity offers its employees competitive compensation packages and an environment that encourages self-development and, as a result, has generally been able to attract and retain qualified personnel and maintain a stable core management team.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PRC laws and regulations, the operating entity participates in various employee benefit plans that are organized by municipal and provincial governments, including pension, medical insurance, unemployment insurance, maternity insurance, on-the-job injury insurance, and housing fund plans through a PRC government-mandated benefit contribution plan. The operating entity is required under PRC laws to make contributions to employee benefit plans at specified percentages of the salaries, bonuses and certain allowances of their employees.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operating entity maintains a good working relationship with its employees, and the operating entity has not experienced any material labor disputes. None of its employees are represented by a labor union.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operating entity’s office, storage and manufacturing facilities are located in Jilin Economic &amp; Technical Development Zone, Jilin City, Jilin Province, the PRC.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the Operating Entity Owns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operating entity owns the premises of its offices, storage and manufacturing facilities, which are all located at No. 1 Lianmeng Road, Jilin Economic &amp; Technical Development Zone, Jilin Province, the PRC, and cover an aggregate building area of approximately 396,975 square feet, with the breakdown set for in the below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Area</w:t>
            </w:r>
          </w:p>
        </w:tc>
      </w:tr>
      <w:tr>
        <w:trPr>
          <w:trHeight w:val="245"/>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Description/Use</w:t>
            </w:r>
          </w:p>
        </w:tc>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(Square Feet)</w:t>
            </w:r>
          </w:p>
        </w:tc>
      </w:tr>
      <w:tr>
        <w:trPr>
          <w:trHeight w:val="216"/>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Hog House</w:t>
            </w:r>
          </w:p>
        </w:tc>
        <w:tc>
          <w:tcPr>
            <w:tcW w:w="5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Quality Inspection Room No. 5</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10,043</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Center No. 3</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23,322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Quality Inspection Room No. 4</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6,724</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Sewage Treatment Facility</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Spleen and Lymph Vaccine Production Floor</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28,395</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Viral Strain Production Floor No. 2</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24,434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Animal Health Room No. 6</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14,671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Electrical Substation Facility</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SPF Chicken Facility</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New Refrigerated Storage Facility</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3,972</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Vaccine Production Floor No. 1 Sector B</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Garage</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Pumping Facility</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Animal Feed Storage Room</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3,767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Dry Coal Shed</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Boiler Room</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10,484</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Defense Basement</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Cell Culture Facility</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82,906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Center</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Animal Experiment Center</w:t>
            </w:r>
          </w:p>
        </w:tc>
        <w:tc>
          <w:tcPr>
            <w:tcW w:w="6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30,592</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Cement Storage Room</w:t>
            </w:r>
          </w:p>
        </w:tc>
        <w:tc>
          <w:tcPr>
            <w:tcW w:w="6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655"/>
        </w:trPr>
        <w:tc>
          <w:tcPr>
            <w:tcW w:w="43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973"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the Operating Entity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above-mentioned properties that the operating entity owns, it currently leases several properties in Jilin, Jilin province, the PRC and Jinan, Shandong province, the PRC for an aggregate area of approximately 1,087 square feet for warehouses, garage, and residences as of the date of this annual report. The breakdown of the leased properties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Area (Square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Lessee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Feet)</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Rent</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r>
      <w:tr>
        <w:trPr>
          <w:trHeight w:val="198"/>
        </w:trPr>
        <w:tc>
          <w:tcPr>
            <w:tcW w:w="1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Yanping Qi</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Jilin Zhengye</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Room 2601, Unit 2,</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RMB26,600 (March 19,</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19, 2023 –</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Residence</w:t>
            </w: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Building No. 12, Wanda</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2023 – December 31,</w:t>
            </w: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Jiangpan Huacheng,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2023) RMB7,000</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 2024 – March</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Changyi District, Jilin,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2024 –</w:t>
            </w: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19, 2024 March 19,</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Jilin Province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19, 2024)</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2024 – March 18, 2025</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RMB33,600 (March 19,</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 2025 – March</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2024 – March 18, 2025)</w:t>
            </w: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19, 2026 March 20,</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RMB33,600 (March 20,</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2026 – March 19, 2027</w:t>
            </w: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2025 – March 19, 2026)</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RMB33,600 (March 20,</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2026 – March 19, 2027)</w:t>
            </w: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Guoliang Shi</w:t>
            </w:r>
          </w:p>
        </w:tc>
        <w:tc>
          <w:tcPr>
            <w:tcW w:w="13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Jilin Zhengye</w:t>
            </w:r>
          </w:p>
        </w:tc>
        <w:tc>
          <w:tcPr>
            <w:tcW w:w="19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No. 1547 Parking Space,</w:t>
            </w: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129</w:t>
            </w:r>
          </w:p>
        </w:tc>
        <w:tc>
          <w:tcPr>
            <w:tcW w:w="19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RMB4,000</w:t>
            </w:r>
          </w:p>
        </w:tc>
        <w:tc>
          <w:tcPr>
            <w:tcW w:w="19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September 2, 2024 –</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Garage</w:t>
            </w:r>
          </w:p>
        </w:tc>
      </w:tr>
      <w:tr>
        <w:trPr>
          <w:trHeight w:val="221"/>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140"/>
              <w:spacing w:after="0" w:line="221"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6"/>
                <w:szCs w:val="16"/>
                <w:color w:val="auto"/>
              </w:rPr>
              <w:t xml:space="preserve"> Floor, Wanda Plaza,</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2025</w:t>
            </w:r>
          </w:p>
        </w:tc>
        <w:tc>
          <w:tcPr>
            <w:tcW w:w="100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Changyi District, Jilin,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 2025 –</w:t>
            </w:r>
          </w:p>
        </w:tc>
        <w:tc>
          <w:tcPr>
            <w:tcW w:w="1000" w:type="dxa"/>
            <w:vAlign w:val="bottom"/>
          </w:tcPr>
          <w:p>
            <w:pPr>
              <w:spacing w:after="0"/>
              <w:rPr>
                <w:sz w:val="18"/>
                <w:szCs w:val="18"/>
                <w:color w:val="auto"/>
              </w:rPr>
            </w:pPr>
          </w:p>
        </w:tc>
      </w:tr>
      <w:tr>
        <w:trPr>
          <w:trHeight w:val="252"/>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Jilin Province</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2026</w:t>
            </w:r>
          </w:p>
        </w:tc>
        <w:tc>
          <w:tcPr>
            <w:tcW w:w="1000" w:type="dxa"/>
            <w:vAlign w:val="bottom"/>
          </w:tcPr>
          <w:p>
            <w:pPr>
              <w:spacing w:after="0"/>
              <w:rPr>
                <w:sz w:val="21"/>
                <w:szCs w:val="2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CAU</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Beijing</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Room 3043, Building 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1026.01</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RMB82,838</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11, 2025 – May 10,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Office</w:t>
            </w:r>
          </w:p>
        </w:tc>
      </w:tr>
      <w:tr>
        <w:trPr>
          <w:trHeight w:val="216"/>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Innovation Institute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Zhongnong</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Beijing China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Agricultural University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Innovation 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Advanced Studies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097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jc w:val="center"/>
        <w:ind w:right="3060"/>
        <w:spacing w:after="0"/>
        <w:rPr>
          <w:sz w:val="20"/>
          <w:szCs w:val="20"/>
          <w:color w:val="auto"/>
        </w:rPr>
      </w:pPr>
      <w:r>
        <w:rPr>
          <w:rFonts w:ascii="Times New Roman" w:cs="Times New Roman" w:eastAsia="Times New Roman" w:hAnsi="Times New Roman"/>
          <w:sz w:val="18"/>
          <w:szCs w:val="18"/>
          <w:color w:val="auto"/>
        </w:rPr>
        <w:t>Institute, No. 10 Tianxiu</w:t>
      </w:r>
    </w:p>
    <w:p>
      <w:pPr>
        <w:spacing w:after="0" w:line="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Road, Haidian District,</w:t>
      </w:r>
    </w:p>
    <w:p>
      <w:pPr>
        <w:spacing w:after="0" w:line="9"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color w:val="auto"/>
        </w:rPr>
        <w:t>Beijing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 Use Right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 is entitled to use a piece of national land of 979,765 square feet, for industrial purpose, located at No. 1 Lianmeng Road, Jilin Economic &amp; Technical Development Zone, Jilin Province, the PRC, with an expiration date of November 8, 2055.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entity provides social security insurance including pension, medical insurance, unemployment insurance, maternity insurance, on-the-job injury insurance and housing fund plans through a PRC government-mandated benefit contribution plan for its employees. It does not carry any key-man life insurance, product liability and professional liability insurance and has not purchased any property insurance or business interruption insurance. It has determined that the costs of insuring for related risks and the difficulties associated with acquiring such insurance on commercially reasonable terms make it impractical. We consider the insurance coverage to be sufficient for the operating entity’s business operations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manufacturer of veterinary vaccines, the operating entity production activities are governed by PRC laws and regulations, including the Environmental Protection Law of the PRC, Law of the PRC on the Prevention and Control of Environment Pollution Caused by Solid Wastes, the Regulations on Discharge of Pollutants (Provisional), the Regulation on Urban Drainage and Sewage Treatment and the Measures for the Administration of Permits for Discharging Urban Sewage into the Drainage Pipeline. In order to better comply to these laws and regulations, the operating entity has invested RMB569,311 in pollutant treatment for the period from July 1, 2022 to December 31,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wastewater the operating entity generates can be divided into domestic wastewater and active toxic sewage. Domestic wastewater can be disposed directly into municipal pipelines, while active toxic sewage can be disposed into sewage treatment station after being subject to high-temperature sterilization and inspection. The corner wastes generated are cleaned and collected by the cleaning personnel and transported to the municipal garbage disposal site for treatment by the local sanitation department. Solid wastes generated during operation are collected and sent to relevant manufacturers for recycling. If new products are developed in the future, the operating entity will take corresponding environmental protection measures according to relevant laws and regulations.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except as disclosed in this annual report, we are not aware of any warning, investigations, prosecutions, disputes, claims or other proceedings in respect of environmental protection, nor has it been punished or can foresee any punishment to be made by any government authorities of the PRC.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neither we nor the operating entity is a party to any material legal or administrative proceedings. From time to time, the operating entity may be subject to various claims and legal actions arising in the ordinary course of business. Litigation or any other legal or administrative proceeding, regardless of the outcome, is likely to result in substantial cost and diversion of the operating entity’s resources, including management’s time and attention. Furthermore, as of the date of this annual report, the operating entity is not a party to any international claims or litigation with respect to defective products or other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sets forth a summary of applicable laws, rules, regulations, government and industry policies and requirements that have a significant impact on our PRC subsidiary and the operating entity’s operations and business. This summary does not purport to be a complete description of all laws and regulations that apply to our PRC subsidiaries and the operating entity’s business and operations. Investors should note that the following summary is based on relevant laws and regulations in force as of the date of this annual report, which may be subject to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Investment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the PRC are mainly governed by the Company Law (revised in 2023), which was issued by the Standing Committee of the National People’s Congress and became effective on July 1, 2024. The Company Law applies to both PRC domestic companies and foreign-invested companies. The investment activities in China of foreign investors are also governed by the Foreign Investment Law, which was approved by the National People’s Congress of China in March 2019 and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Pursuant to the Foreign Investment Law, the term “foreign investments” refers to any direct or indirect investment activities conducted by any foreign investors in the PRC, including foreign individuals, enterprises or organizations; such investment includes any of the following circumstances:</w:t>
      </w:r>
    </w:p>
    <w:p>
      <w:pPr>
        <w:spacing w:after="0" w:line="1" w:lineRule="exact"/>
        <w:rPr>
          <w:sz w:val="20"/>
          <w:szCs w:val="20"/>
          <w:color w:val="auto"/>
        </w:rPr>
      </w:pPr>
    </w:p>
    <w:p>
      <w:pPr>
        <w:jc w:val="both"/>
        <w:ind w:firstLine="8"/>
        <w:spacing w:after="0" w:line="255" w:lineRule="auto"/>
        <w:tabs>
          <w:tab w:leader="none" w:pos="2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investors establishing foreign-invested enterprises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Foreign Investment Law, the State Council shall promulgate or approve a list of special administrative measures for access of foreign investments, which is referred to as “the Negative List.” The Foreign Investment Law grants treatment to foreign investors and their investments at the market access stage which is no less favorable than that given to domestic investors and their investments, except for the investments of foreign investors in industries deemed to be either “restricted” or “prohibited” on the Negative List. The Foreign Investment Law provides that foreign investors shall not invest in the “prohibited” industries on the Negative List and shall meet such requirements as stipulated by the Negative List for making investment in “restricted” industries on the Negative List. Accordingly, the National Development and Reform Commission, or the NDRC, and the Ministry of Commerce promulgated the Negative List (2024), which took effect on November 1, 2024, and the NDRC and the Ministry of Commerce promulgated the Encouraged Industry Catalogue for Foreign Investment (2022 version), or the 2022 Encouraged Industry Catalogue, which took effect on January 1, 2023. Industries not listed on the Negative List (2024) are generally open for foreign investments unless specifically restricted by other PRC laws.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Investment Law and its implementing rules also provide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enterprises are legally liable for failing to report investment information in accordance with the requirements. Furthermore, the Foreign Investment Law provides that foreign-invested enterprises established prior to the effectiveness of the Foreign Investment Law may maintain their legal form and structure of corporate governance within five years after January 1, 2020.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Veterinary Drugs Production and Operation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9, 2004, the State Council promulgated the Regulation on Veterinary Drug Administration, which was most recently amended on March 27, 2020. These regulations apply to the research and development, production, marketing, import and export, use, as well as supervision and administration of veterinary drugs within the PRC. Pursuant to the Regulation on Veterinary Drug Administration, any enterprise which produces veterinary drugs requires a Veterinary Drug Production License; and any enterprise which deals in veterinary drugs requires a Veterinary Drug Operation License. The validity periods of the Veterinary Drug Production License and the Veterinary Drug Operation License are both five years. Enterprises that produce or manage veterinary drugs without the Veterinary Drug Production License or the Veterinary Drug Distribution License will be ordered to stop their production or business and their illegal income will be confiscated. In serious cases, they will be investigated for the crime of illegal operation.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2020, the Ministry of Agriculture and Rural Affairs of the PRC promulgated a new version of the Measures for the Administration of the Production and Quality Control of Veterinary Biological Products with an effective date of June 1, 2020, governing the production, storage, supervision and administration of veterinary biological products within the PRC. According to these measures, any enterprise producing veterinary drugs shall establish a quality assurance system that conforms to the requirements of quality control for veterinary drugs, and ensure that the production, control, storage and sales of veterinary drugs meet the registration requirements of veterinary drugs.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veterinary drug operators in the PRC shall also comply with the Norms for the Business Operation and Quality Management of Veterinary Drugs, which was promulgated by the Ministry of Agriculture and Rural Affairs on January 15, 2010 and amended on November 30, 2017. It is a set of standards regulating the quality management of veterinary drugs operators in the PRC, including but not limited to operation sites, equipment, personnel, bylaws, purchases, warehousing, distribution and freight.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17, 2021, the Ministry of Agriculture and Rural Affairs of the PRC promulgated a new version of the Measures for the Administration of the Business Operation of Veterinary Biological Products with an effective date of May 15, 2021, governing the distribution, operation, supervision and administration of veterinary biological products within the PRC. According to these measures, any enterprise that engages in the business operation of biological products for veterinary use shall obtain a Veterinary Drug Operation License. The business scope in the Veterinary Drug Operation License shall specifically state the categories of biological products, for example, whether they are national compulsory immunity biological products, and the name of the entrusted production enterprise of biological products for veterinary use.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Measures for the Administration of Veterinary Drug Registration, after completing clinical trials, new veterinary drug registration applicants should submit an application to the Ministry of Agriculture and Rural Affairs and provide relevant documents as required by Announcement No. 442 of the People’s Republic of China’s Ministry of Agriculture and Rural Affairs on veterinary drug registration materials. After receiving the application materials, the Ministry of Agriculture and Rural Affairs forwards them to the review center, which completes a formal review within 10 working days. If the requirements are met, a Notice of Acceptance for Veterinary Drug Registration Application will be issued. If the requirements are not met, a Notice of Non-Acceptance for Veterinary Drug Registration Application will be issued, along with reasons for the decision.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acceptance of the veterinary drug registration, the applicant should submit the application materials to the review center within 20 working days. Upon receiving the application materials, the review center completes all technical evaluations within a cumulative total of 120 working days and presents its review opinions and conclusions to the Ministry of Agriculture and Rural Affairs.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initial review identifies significant defects, the review center will suggest non-approval based on the existing application materials. If additional materials are needed, the review center should request all supplementary materials at once, and the applicant should provide all required supplementary materials within 132 working days. After the applicant provides the supplementary materials, if substantive defects still exist, the review center will suggest non-approval. If the applicant doesn’t need to supply new technical materials and only needs to provide explanatory notes for the application materials, the review center will notify the applicant to submit the relevant explanations within 20 working days. If the review center needs to review the applicant’s supplementary materials or explanatory notes again, the review period for that application will be extended by 40 working days.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after the initial review, the application generally meets the requirements and needs to undergo registration inspection, the review center will notify the applicant and inform the provincial veterinary department where the pilot production enterprise is located to carry out on-site verification and sampling. The China Veterinary Drug Monitoring Institute should, based on the product quality standards approved by the review center and confirmed by the applicant, determine quality inspection items based on risk and organize quality inspections and standard reviews for the new veterinary drugs being registered. The China Veterinary Drug Monitoring Institute should deliver the quality inspection report and standard review opinions of the registered sample to the review center within 120 working days, and at the same time, send a copy to the applicant. Registration inspection for special veterinary drugs and vaccine products can be completed within 150 working days.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After receiving the applicant’s supplementary materials or explanations, as well as various other reports from verification, inspection, validation, and review, the review center initiates the re-review process. It then formulates review opinions and conclusions and, along with relevant materials, submits them to the Ministry of Agriculture and Rural Affairs. The Ministry of Agriculture and Rural Affairs should complete its review within 60 working days from the date of receiving the review opinions and conclusions from the review center. For veterinary drugs that meet the requirements, they will be announced. The applicant will be issued a New Veterinary Drug Registration Certificate, accompanied by approved production processes, registration standards, and sample drafts of labels and instructions. Registration Certificate of New Veterinary Drugs verifies that the veterinary drug product has undergone all the necessary tests and evaluations to ensure its safety, efficacy, and quality, and it can be used for animals under the stipulated uses and dosages. It is a required certificate for a manufacturer before receiving an Approval Number for Veterinary Biological Products for a vaccine and commencing manufacturing such vaccine.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obtaining the New Veterinary Drug Registration Certificate, the applicant is able to submits an application for an Approval Number for Veterinary Biological Products to the Ministry of Agriculture and Rural Affairs. The Ministry of Agriculture and Rural Affairs organizes the China Institute of Veterinary Drug Control to conduct a technical review of the application materials in accordance with regulations. If sample testing is required, it is conducted by the China Institute of Veterinary Drug Control. The Veterinary Bureau of the Ministry of Agriculture and Rural Affairs proposes an approval plan based on the review opinions, and after approval by the minister, the Approval Number for Veterinary Biological Products will be issued to the applicant. With the Approval Number for Veterinary Biological Products, the manufacturer is able to produce the vaccine.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receiving the New Veterinary Drug Registration Certificate and Approval Number for Veterinary Biological Products, the manufacturer should complete the Veterinary Biological Product Lot Release Record Form and submit it to the China Institute of Veterinary Drug Control along with documents such as the Certificate of Good Manufacturing Practices for Animal Drugs, Veterinary Drug Production Permit, and Approval Number for Veterinary Biological Products. If the record information meets the requirements, the China Institute of Veterinary Drug Control issues a Veterinary Biological Product Lot Release Record Documentation to the manufacturer. The manufacturer, with the Veterinary Biological Product Lot Release Record Documentation, apply for sampling to provincial veterinary drug supervision and inspection institutions and provide the China Institute of Veterinary Drug Control with the Lot Release Product Catalog, Veterinary Biological Product Production and Inspection Report, and Veterinary Biological Product Lot Release Sampling Form. Upon receiving the sampling application submitted by the manufacturer, the provincial veterinary drug supervision and inspection institution should complete the sampling work within 7 working days. The China Institute of Veterinary Drug Control should complete the review within 7 working days after receiving the materials and, when necessary, conduct spot checks and inspections. If compliant with regulations, a Veterinary Biological Product Lot Release Qualification Notice will be issued to the manufacturer. With the Veterinary Biological Product Lot Release Qualification Notice, the manufacturer is able to sell its vaccines domestically.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Breeding and Use of Animals in Experiment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Regulation on the Administration of Laboratory Animals issued by the National Science and Technology Committee (now known as “the Ministry of Science and Technology”) in November 1988 and amended by the State Council in March 2017, the government has adopted a quality certification system for the supervision of animal experiment in respect of the breeding, quarantine and epidemic prevention, use of animals in experiments, import and export of laboratory animals, as well as the qualification of personnel involving in animal experiment.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 Science and Technology Commission and the State Bureau of Quality and Technical Supervision jointly promulgated the Administration Measures on Good Practice of Experimental Animals in December 1997. The Ministry of Science and Technology and other regulatory authorities promulgated the Administrative Measures on the Certificate for Experimental Animals (Trial) in December 2001. All of these laws and regulations require a Certificate for Use of Laboratory Animals for performing experiments on animals. A laboratory animal operation license is required for personnel involved in the breeding, reproduction, supply, transportation and commercial operation of laboratory animals. Any entity or individual who uses laboratory animals for scientific research and experiment is required to obtain a permit for the use of laboratory animals. Applicants of laboratory animal operation license and use permit shall satisfy certain conditions. No entity or individual shall perform animal experiment and operation without such license or permit. The results of animal experiment will not be recognized if the experiment is conducted by an entity or individual without such license or permit or that the animal and relevant materials are supplied by a provider without the operation license.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Regulations Related to Product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Product Quality Law of the PRC, which was effective as from September 1, 1993 and last amended by the SCNPC on December 29, 2018, products for sale must satisfy relevant safety standards and sellers shall adopt measures to maintain the quality of products for sale. Sellers may not mix impurities or imitations into products, or pass counterfeit goods off as genuine ones, or defective products as good ones or substandard products as standard ones. For sellers, any violation of state or industrial standards of health and safety or other requirements may result in civil liabilities and be imposed on administrative penalties, such as compensation for damages, fines, confiscation of products illegally manufactured or sold and the proceeds from the sales of such products, and even revoking business license. In addition, severe violations may subject the responsible individual or enterprise to criminal investigation.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Civil Code of the PRC, which became effective on January 1, 2021, the infringed party may claim for compensation from the manufacturer or the seller of the relevant product in which the defects have caused damage. Where the product defects are caused by the producers, the sellers shall have the right to recover the same from the producers after paying compensation. If the products are defective due to the fault of the seller, the producer may, after paying compensation, claim the same from the seller.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Export and Import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Regulations of the PRC on the Administration of Import and Export of Goods promulgated by the State Council on March 10, 2024 which came into effect on May 1, 2024, the Foreign Trade Law of the PRC (revised in 2025) promulgated by the Standing Committee of National People’s Congress, or the SCNPC, on December 27, 2025 which came into effect on March 1, 2026, the Customs Law of the PRC promulgated by the SCNPC, on January 22, 1987 which came into effect on July 1, 1987 and last amended on April 29, 2021, the Measures for Record Filing and Registration by Foreign Trade Dealer promulgated by the Ministry of Commerce (the “MOFCOM”) on June 25, 2004, which came into effect on July 1, 2004 and last amended on May 10, 2021 and the Administrative Provisions of the Customs of the PRC on Record-filing of Customs Declaration Entities promulgated by the General Administration of Customs of the PRC on November 19, 2021 which came into effect on January 1, 2022, foreign trade business operators engaging in the import or export of goods or technology must go through the record filing and registration formalities with the MOFCOM or the agency entrusted by the MOFCOM. Unless otherwise provided for, the declaration of import or export goods and the payment of duties may be made by the consignees or consignors themselves, or by entrusted customs brokers. Customs declaration entities refer to consignees or consignors of imported or exported goods or customs brokers that have filed for record with Customs. Customs declaration entities may conduct customs declaration business within the customs territory of the PRC.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Patents in the PRC are principally protected under the PRC Patent Law, which was initially promulgated by the SCNPC in 1984 and was most recently amended in 2020. A patent is valid for twenty years in the case of an invention and ten years in the case of utility models and designs.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Copyrights in the PRC, including software copyrights, is principally protected under the PRC Copyright Law, which took effect in 1991 and was most recently amended in 2020, and other related rules and regulations. Under the PRC Copyright Law, the term of protection for software copyrights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various entities which may be held liable for violations, including copyright holders, libraries and Internet service providers.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Registered trademarks are protected under the PRC Trademark Law, which was adopted by the SCNPC in 1982 and most recently amended in 2019, as well as the Implementation Regulations of the PRC Trademark Law adopted by the State Council in 2002 and most recently amended in 2014, and other related rules and regulations. The State Intellectual Property Office, formerly known as the Trademark Office of the State Administration for Industry and Commerce, handles trademark registrations and grants a protection term of ten years to registered trademarks and the term may be renewed for another ten-year period upon request by the trademark owner.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Internet Domain Names promulgated by the Ministry of Industry and Information Technology (the “MIIT”) on August 24, 2017 and became effective since November 1, 2017. Domain name registrations are handled through domain name service agencies established under the relevant regulations, and applicants become domain name holders upon successful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Environmental Protection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Protection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Environmental Protection Law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other public hazards and safeguarding people’s health.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Permission to commence production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Environmental Protection Law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and even criminal punishment.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or the operating entity is not aware of any warning, investigations, prosecutions, disputes, claims or other proceedings in respect of environmental protection, nor have we or the operating entity been punished or can foresee any punishment to be made by any government authorities of the PRC.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Disposal of Hazardous Waste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Law on the Prevention and Control of Environmental Pollution Caused by Solid Waste, which was promulgated by the SCNPC in 1995 and was latest amended on April 29, 2020, entities generating hazardous waste shall store, utilize and dispose hazardous waste according to the relevant requirements of the state and environmental protection standards, and shall not dump or pile up hazardous waste without authorization. Furthermore, it is forbidden to entrust entities without a permit for disposal to dispose of hazardous waste, otherwise the competent ecological and environmental authorities shall impose fines, confiscate illegal gains, order the entities to make rectification, and in serious circumstance, order the entities to suspend business or close down upon the approval of the government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Urban Drainage and Sewage Treatment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Regulations on the Administration of Pollutant Discharge Permits promulgated by the State Council on January 24, 2021, business units and entities that discharge pollutant registered in the list of regular pollutant sources shall apply for permit for discharge of pollutants. No discharge of pollutants shall be allowed if such permit is required.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Regulation on Urban Drainage and Sewage Treatment, which was promulgated by the State Council in 2013, and the Measures for the Administration of Permits for Discharging Urban Sewage into the Drainage Pipeline, which was promulgated by the Ministry of Housing and Urban-Rural Development in 2015 and last amended in 2022, enterprises, institutions and individually-owned businesses engaging in industry, construction, food and beverage, medical service and other activities which discharge sewage into urban drainage facilities shall apply to the competent urban drainage authorities for a permit for sewage discharge into the drainage pipe network, or the Drainage Permit. Entities discharging sewage into urban drainage facilities without obtaining a Drainage Permit shall be ordered by the relevant urban drainage authority to suspend their illegal activities, take remedial measures within a time limit, re-apply the Drainage Permit, and may be imposed a fine of less than RMB500,000.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Consumer Rights Protection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Consumer Rights and Interests Protection Law, as promulgated on October 31, 1993 and most recently amended in 2013 by the SCNPC, imposes stringent requirements and obligations on business operators. Failure to comply with the consumer protection requirements could subject the business operators to administrative penalties including warning, confiscation of illegal income, imposition of fines, an order to cease business operations, revocation of business licenses, as well as potential civil or criminal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Exchange and Dividend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as most recently amended in 2008. Under these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2012, SAFE promulgated the Circular of Further Improving and Adjusting Foreign Exchange Administration Policies on Foreign Direct Investment, or Circular 59, which substantially amends and simplifies the previous foreign exchange procedure. Pursuant to Circular 59, the opening and deposit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requires the approval or verification of SAFE, and multiple capital accounts for the same entity may be opened in different provinces, which was not possible previously. In 2013, SAFE promulgated the Notice on Promulgation of the Provisions on Foreign Exchange Control on Direct Investments in China by Foreign Investors and Supporting Documents, which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conduct the registration, and perform statistical monitoring and reporting responsibilities.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allows all foreign-invested enterprises established in the PRC to settle their foreign exchange capital on a discretionary basis according to the actual needs of their business operation, provides the procedures for foreign invested companies to use RMB converted from foreign currency-denominated capital for equity investments and removes certain other restrictions under previous rules and regulations.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that (i) banks must check whether the transaction is genuine by reviewing board resolutions regarding profit distribution, original copies of tax filing records and audited financial statements and stamp with the outward remittance sum and date on the original copies of tax filing records,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2019, SAFE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with genuine investment projects and in compliance with effective foreign investment restrictions and other applicable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2023, SAFE promulgated the Notice on Further Deepening the Reform to Facilitate Cross-border Trade and Investment, which relaxed restrictions on the scale of preliminary expenses for overseas direct investment, and facilitated the payment and use of funds obtained from equity transfers under domestic reinvestment and funds raised from overseas listing of foreign direct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regulations governing dividends distributions by companies is the PRC Company Law. Under these laws and regulations, both domestic companies and foreign-invested companies in the PRC are required to set aside as general reserves at least 10% of their after-tax profit, until the cumulative amount of their reserves reaches 50% of their registered capital unless the laws and regulations regarding foreign investment provide otherwise.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Regulations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16, 2007, the SCNPC promulgated the Enterprise Income Tax Law of the PRC which was last amended on December 29, 2018, and on December 6, 2007. The State Council enacted the Regulations for the Implementation of the Enterprise Income Tax Law, which came into effect on January 1, 2008 and was amended on April 23, 2019. Both laws are collectively referred to as the EIT Law.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Provisional Regulations of the PRC on Value-added Tax were promulgated by the State Council on December 13, 1993 and came into effect on January 1, 1994 which were subsequently amended from time to time. The Detailed Rules for the Implementation of the Provisional Regulations of the PRC on Value-added Tax (Revised in 2011) was promulgated by the Ministry of Finance of the PRC (the “MOF”) on December 25, 1993 and subsequently amended on December 15, 2008 and October 28, 2011. Both regulations are collectively referred to as the VAT Law. On November 19, 2017, the State Council promulgated the Decisions on Abolishing the Provisional Regulations of the PRC on Business Tax and Amending the Provisional Regulations of the PRC on Value-added Tax, or the Order 691. On December 25, 2024, the PRC Value-added Tax Law was promulgated and took effect on January 1, 2026. According to the 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Value-added Tax (the “VAT”). The VAT tax rates generally applicable are simplified as 13%, 9%, 6% and 0%, and the VAT tax rate applicable to the small-scale taxpayers is 3%. According to the Notice of the Ministry of Finance and the State Administration of Taxation on Value-Added Tax Policies Concerning the Application of Low Tax Rates and Simplified Taxation Method for Certain Goods promulgated on January 19, 2009 and the Notice of the Ministry of Finance and the State Administration of Taxation on Simplifying Value-added Tax Rate Policies promulgated on June 13, 2014, if general taxpayers sell biological products which are made of microbes, metabolin of microbes, animal toxin, blood or organism of human beings or animals, VAT shall be paid and calculated at the rate of 3% under the simplified method.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Withholding Tax</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According to the EIT Law, dividends paid to their foreign investors by foreign-invested companies that are non-resident enterprises as defined under the law are subject to withholding tax at a rate of 10%, unless otherwise provided in the relevant tax agreements entered into with the central government of the PRC. Pursuant to the Arrangement Between the Mainland China and the Hong Kong Special Administrative Region for the Double Tax Avoidance Arrangement and Tax Evasion on Income promulgated on August 21, 2006, if a Hong Kong resident enterprise is determined by the competent PRC tax authority to have satisfied the relevant conditions and requirements under such tax arrangement, the withholding tax rate on the dividends the Hong Kong resident enterprise receives from a PRC resident enterprise may be reduced to 5% from 10% applicable under the EIT Law and the EITIR. However, based on the Notice of the State Administration of Taxation on Certain Issues with Respect to the Enforcement of Dividend Provisions in Tax Treaties promulgated by the State Administration of Taxation (the “SAT”) and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Furthermore, in October 2019, the SAT promulgated the Administrative Measures for Non-Resident Taxpayers to Enjoy Treaty Treatments (the “Circular 35”), which became effective on January 1, 2020 and superseded the Administrative Measures for Non-Resident Enterprises to Enjoy Treatments under Tax Treaties promulgated in 2015. The Circular 35 abolishes the record-filing procedure for justifying the tax treaty eligibility of taxpayers, and stipulates that non-resident taxpayers can enjoy tax treaty benefits via the “self-assessment of eligibility, claiming treaty benefits, retaining documents for inspection” mechanism.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auto"/>
        </w:rPr>
        <w:t>Non-resident taxpayers can claim tax treaty benefits after self-assessment provided that relevant supporting documents shall be collected and retained for post-filing inspection by the tax authorities. Based on the Notice of the State Administration of Taxation on the Recognition of Beneficial Owners in Tax Treaties, which was promulgated by SAT on February 3, 2018 and came into effect on April 1, 2018, a comprehensive analysis is used to determine beneficial ownership based on the actual situation of a specific case combined with certain principles, and if an applicant is obliged to pay more than 50% of its income to a third country (region) resident within 12 months of the receipt of the income, or the business activities undertaken by an applicant do not constitute substantive business activities including substantive manufacturing, distribution, management and other activities, the applicant is unlikely to be recognized as an beneficial owner to enjoy tax treaty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 on Indirect Transfer of Non-Resident Enterprises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10, 2009, the SAT issued the Notice on Strengthening the Administration of Enterprise Income Tax on Equity Transfers of Non-resident Enterprises (the “Circular 698”). By promulgating and implementing the Circular 698, the PRC tax authorities have enhanced their scrutiny over the indirect transfer of equity interests in a PRC resident enterprise by a non-resident enterprise. The SAT further issued the Public Announcement on Several Issues Concerning Enterprise Income Tax for Indirect Transfer of Assets by Non-Resident Enterprises (the “Circular 7”) on February 3, 2015, which replaces certain provisions in the Circular 698. The Circular 7 introduces a new tax regime that is significantly different from that under the Circular 698. The Circular 7 extends its tax jurisdiction to capture not only indirect transfer as set forth under the Circular 698, but also transactions involving transfer of immovable property in China and assets held under the establishment and place in China of a foreign company through the offshore transfer of a foreign intermediate holding company. The Circular 7 also provides clearer criteria than the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indirect transfer shall, in accordance with the EIT Law, be recognized by the competent PRC tax authorities as a direct transfer of equity interests or other assets of the PRC resident enterprise.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17, 2017, the SAT promulgated the Announcement on Matters Concerning Withholding and Payment of Income Tax of Non-resident Enterprises from Source (the “SAT Circular 37”), which came into force and replace the Circular 698 and certain provisions in the Circular 7 on December 1, 2017 and was partly amended on June 15, 2018. The SAT Circular 37, among other things, simplifies the procedures of withholding and payment of income tax levied on non-resident enterprises. Pursuant to SAT Circular 37, where the party responsible for withholding such income tax does not, or is unable to, withhold the taxes that should have been withheld to the relevant tax authority, the party may be subject to penalties. Where the non-resident enterprise receiving such income fails to declare and pay taxes that should have been withheld to the relevant tax authority, the party may be ordered to rectify within a specific time limit.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Employment, Social Insurance and Housing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PRC Labor Law, which was promulgated in 1994 and most recently amended in 2018, and the PRC Labor Contract Law, which was promulgated on June 29, 2007 and amended on December 28, 2012, employers must execute written labor contracts with full-time employees. All employers must comply with local minimum wage standards. Violations of the PRC Labor Contract Law and the PRC Labor Law may result in the imposition of fines and other administrative and criminal penalties in the case of serious violations. In addition, according to the PRC Social Insurance Law implemented on July 1, 2011 and most recently amended on December 29, 2018 and the Regulations on the Administration of Housing Funds, which was promulgated by the State Council in 1999 and most recently amended in 2019, employers in China must provide employees with welfare schemes covering pension insurance, unemployment insurance, maternity insurance, work-related injury insurance, and medical insurance and housing funds.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Regulations Related to M&amp;A Rules and Overseas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MOFCOM, the State-owned Assets Supervision and Administration Commission of the State Council, the SAT, the SAIC, the CSRC, and the SAFE, issued the M&amp;A Rules, which took into effect on September 8, 2006 and was amended by the MOFCOM on June 22, 2009. The M&amp;A Rules, among other things, require that if an overseas company established or controlled by PRC companies or individuals intends to acquire equity interests or assets of any other PRC domestic company affiliated with such PRC companies or individuals, such acquisition must be submitted to MOFCOM for approval. The M&amp;A Rules also require offshore special purpose vehicles formed for overseas listing purposes through acquisitions of PRC domestic companies and controlled by PRC companies or individuals, to obtain the approval of CSRC prior to publicly listing their securities on an overseas stock exchange.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Foreign Investment Law (the “FIL”) and its implementation regulations became effective on January 1, 2020, the provisions of the M&amp;A Rules remain effective to the extent they are not inconsistent with the FIL and its implementation regulations. According to the Anti-Monopoly Law which took effect on August 1, 2008, where the concentration of business operators reaches the filing threshold stipulated by the State Council, business operators shall file a declaration with the SAMR, and no concentration shall be implemented until the SAMR clears the anti-monopoly filing. We currently are not subject to the Anti-Monopoly Law because we do not reach the filing threshold stipulated by the State Council. If we will be found to be subject to the Anti-Monopoly Law, we will be required to file a declaration with the SAMR, and no concentration shall be implemented until the SAMR clears the anti-monopoly filing. During such reviews, we may be required to suspend the operations or experience other disruptions to the operation, which will also result in negative publicity with respect to our Company and diversion of our managerial and financial resources, which could materially and adversely affect our business, financial conditions, and results of operations.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Notice of the General Office of the State Council on the Establishment of the Security Review System for Mergers and Acquisitions of Domestic Enterprises by Foreign Investors and the Security Review Rules issued by the General Office of the State Council on February 3, 2011 and became effective on March 3,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PRC government authorities. On August 25, 2011, the MOFCOM issued the Provisions of the Ministry of Commerce for the Implementation of the Security Review System for Mergers and Acquisitions of Domestic Enterprises by Foreign Investors, which provides that if a foreign investor’s merger or acquisition of a domestic enterprise falls within the scope of security review specified in the Notice of the General Office of the State Council on the Establishment of the Security Review System for Mergers and Acquisitions of Domestic Enterprises by Foreign Investors, the foreign investor shall file an application with MOFCOM for security review. Whether a foreign investor’s merger or acquisition of a domestic enterprise falls within the scope of security review or not shall be determined based on the substance and actual influence of the merger or acquisition transaction. No foreign investor is allowed to substantially avoid the security review in any way, including but not limited to, holding shares on behalf of others, trust arrangements, multi-level reinvestment, leasing, loans, contractual control, or overseas transactions.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and relevant five guidelines, which became effective on March 31, 2023. The Overseas Listing Trial Measures comprehensively improve and reform the existing regulatory regime for overseas offering and listing of PRC domestic companies’ securities and regulate both direct and indirect overseas offering and listing of PRC domestic companies’ securities by adopting a filing-based regulatory regime.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(i) such securities offering and listing is explicitly prohibited by provisions in laws, administrative regulations and relevant state rules; (ii) the intended securities offering and listing may endanger national security as reviewed and determined by competent authorities under the State Council in accordance with law; (iii)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make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The Overseas Listing Trial Measures also provides that if the issuer both meets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or voluntary or forced delisting of the issuer(s) who have completed overseas offerings and listings.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promulgated the Confidentiality and Archives Administration Provisions, which also became effective on March 31, 2023. According to the Confidentiality and Archives Administration Provisions, domestic companies that seek overseas offering and listing (either in direct or indirect means) and the securities companies and securities service (either incorporated domestically or overseas) providers that undertake relevant businesses shall institute a sound confidentiality and archives administration system, and take necessary measures to fulfill confidentiality and archives administration obligations. They shall not leak any state secret and working secret of government agencies, or harm national security and public interest. Therefore, a domestic company that plans to, either directly or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The above-mentioned documents and materials that, if leaked, will be detrimental to national security or public interest, the domestic company shall strictly fulfill relevant procedures stipulated by applicable regulations. Furthermore, the Confidentiality and Archives Administration Provisions stipulates that a domestic company that provides accounting archives or copies of accounting archives to any entities including securities companies, securities service providers and overseas regulators and individuals shall fulfill due procedures in compliance with applicable regulations. Working papers produced in the Chinese mainland by securities companies and securities service providers in the process of undertaking businesses related to overseas offering and listing by domestic companies shall be retained in the Chinese mainland. Where such documents need to be transferred or transmitted to outside the Chinese mainland, relevant approval procedures stipulated by regulations shall be followed.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 History and Development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Property, Plants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Business Overview—Properties.”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 </w:t>
      </w:r>
      <w:r>
        <w:rPr>
          <w:rFonts w:ascii="Times New Roman" w:cs="Times New Roman" w:eastAsia="Times New Roman" w:hAnsi="Times New Roman"/>
          <w:sz w:val="18"/>
          <w:szCs w:val="18"/>
          <w:b w:val="1"/>
          <w:bCs w:val="1"/>
          <w:i w:val="1"/>
          <w:iCs w:val="1"/>
          <w:u w:val="single" w:color="auto"/>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through the operating entity, focus on the research, development, manufacturing, and sales of veterinary vaccines, with an emphasis on vaccines for livestock. For over 20 years, the operating entity has been committed to enhancing the health of animals. The operating entity markets a diverse range of vaccines, including vaccines for swine, cattle, goats, sheep, poultry, and dogs. The operating entity’s products are available in 29 provincial regions across China and are exported overseas to Vietnam, Pakistan, and Egypt.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general factors driving veterinary vaccine market. We have benefited from China’s overall economic growth, increased number of large-scale farms, and national policies of animal epidemic detection and prevention, which has been attracting breeders’ attention and promoting compulsory immunization to raise breeders’ full awareness of the risk of animal epidemics and the necessity of immunization.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our business is influenced by these general factors, we believe our results of operations are also directly affected by certain company specific factors, including the following major factors:</w:t>
      </w:r>
    </w:p>
    <w:p>
      <w:pPr>
        <w:spacing w:after="0" w:line="162"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ability to develop high-demand products and expand its business beyond vaccines for livestock by entering into the household animals vaccines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ability to expand its sales and distribution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ability to continue to upgrade its technological capabilities;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entity’s ability to maintain its product quality.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derived revenues from (i) swine vaccines, (ii) poultry vaccines and (iii) other vaccines. The following table sets forth a breakdown of our revenues both in absolute amounts and as a percentage of our total revenues for the years ended December 31, 2023,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gridSpan w:val="2"/>
            <w:vMerge w:val="continue"/>
          </w:tcPr>
          <w:p>
            <w:pPr>
              <w:spacing w:after="0"/>
              <w:rPr>
                <w:sz w:val="21"/>
                <w:szCs w:val="21"/>
                <w:color w:val="auto"/>
              </w:rPr>
            </w:pP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Swine vaccines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90,143</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 vaccines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15,430</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15,506</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vaccines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13,061</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211,651</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186,356</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116,362</w:t>
            </w: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16,639</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9" w:name="page90"/>
    <w:bookmarkEnd w:id="8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our revenues are generated from different distribution channels, the following table sets forth a breakdown of our revenues from different distribution channels for the years ended December 31, 2023,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gridSpan w:val="2"/>
            <w:vMerge w:val="continue"/>
          </w:tcPr>
          <w:p>
            <w:pPr>
              <w:spacing w:after="0"/>
              <w:rPr>
                <w:sz w:val="21"/>
                <w:szCs w:val="21"/>
                <w:color w:val="auto"/>
              </w:rPr>
            </w:pP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sales channel</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51,897</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network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49,623</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59,854</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tender and procurement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4,728</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211,651</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186,356</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116,362</w:t>
            </w: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16,639</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revenues consist primarily of inventory cost and shipping and handling cost of providing these services or goods. The following table sets forth a breakdown of our cost of revenues by nature both in absolute amounts and as a percentage of our total cost of revenues for the years ended December 31, 2023, 2024,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Swine vaccines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Poultry vaccines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11,575</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13,979</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r>
      <w:tr>
        <w:trPr>
          <w:trHeight w:val="24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vaccines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9,311</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9,755</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1"/>
                <w:szCs w:val="21"/>
                <w:color w:val="auto"/>
              </w:rPr>
            </w:pPr>
          </w:p>
        </w:tc>
      </w:tr>
      <w:tr>
        <w:trPr>
          <w:trHeight w:val="210"/>
        </w:trPr>
        <w:tc>
          <w:tcPr>
            <w:tcW w:w="35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94,143</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95,061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92,493</w:t>
            </w: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13,227</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research and development expenses, general and administrative expenses, and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advertising expenses, salaries and other compensation-related expenses to sales and marketing personnel and warranty expenses. We expense all advertising costs as incurred and classify these costs under sales and marketing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and benefits for employees involved in general corporate functions and those not specifically dedicated to research and development activities, depreciation and amortization, which are not used in research and development activities, legal and other professional services fees, rental and other general corporate related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primarily consist of payroll and related expenses for personnel engaged in research and development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the past collection experience, current economic conditions, future economic conditions (external data and macroeconomic factors) and changes in the Company’s customer collection trends. The allowance for credit losses and corresponding receivables were written off when they are determined to be uncollectible.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3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500" w:type="dxa"/>
            <w:vAlign w:val="bottom"/>
          </w:tcPr>
          <w:p>
            <w:pPr>
              <w:spacing w:after="0"/>
              <w:rPr>
                <w:sz w:val="21"/>
                <w:szCs w:val="21"/>
                <w:color w:val="auto"/>
              </w:rPr>
            </w:pP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23,592</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22,575</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(1,782)</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current laws of the Cayman Islands, the Company is not subject to tax on income or capital gains. Additionally, upon payments of dividends by the Company to their shareholders, no withholding tax will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BVI are not subject to tax on income or capital gain. In addition, payments of dividend by these subsidiaries to their shareholders are not subject to withholding tax in the BVI.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in Hong Kong is subject to a two-tiered profits tax rate regime. The first HKD$2 million of assessable profits earned by a company is subject to be taxed at a profits tax rate of 8.25%, while the remaining profits will continue to be taxed at the profits tax rate of 16.5%. Under the Hong Kong tax law, our subsidiary in Hong Kong is exempted from income tax on its foreign derived income and there are no withholding taxes in Hong Kong on remittance of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from January 1, 2008, the PRC’s statutory Enterprise Income Tax (“EIT”) rate is 25%. 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Relating to Doing Business in the PRC — Under the PRC Enterprise Income Tax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both in absolute amounts and as a percentage of our total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statements of operations and comprehensive income (loss), and consolidated statements of cash flows from RMB into US$ as of and for the year ended December 31, 2025, are solely for the convenience of the readers, and they were calculated at the rate of US$1.00 to RMB6.9931.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21"/>
                <w:szCs w:val="21"/>
                <w:color w:val="auto"/>
              </w:rPr>
            </w:pP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RMB</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(94,143)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(95,061)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(92,493)</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(13,227)</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(40,743)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(41,269)</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(43,918)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(6,280)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(22,575)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(31,006)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(12,794)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(18,013)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(provision for) credit losses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3,714</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(13,496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(4,043)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(3,400)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679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subsidy</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2,653</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43,762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14,394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(71,873)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(11,095)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37,509</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13,470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(82,968</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decreased by RMB70.0 million or 37.6% from RMB186.4 million for the year ended December 31, 2024 to RMB116.4 million (US$16.6 million) for the year ended December 31, 2025, primarily due to a downturn in the hog market in 2025, characterized by low and volatile prices, which resulted in reduced demand for swine vaccines.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decreased by RMB25.3 million or 12.0% from RMB211.7 million for the year ended December 31, 2023 to RMB186.4 million for the year ended December 31, 2024, primarily due to the veterinary vaccine market adjustments and the reduced sales of swine vaccines following the Company’s strategic realignment of sales practices aimed at diversifying its customer base and reducing concentration risk.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from sales to the operating entity’s largest customer dropped from RMB83.1 million for the year ended December 31, 2024 by RMB67.1 million to RMB16.0 million (US$2.3 million) for the year ended December 31, 2025, due to the customer’s less demand for swine vaccines.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from sales to the operating entity’s largest customer dropped from RMB110.3 million for the year ended December 31, 2023 by RMB27.2 million to RMB83.1 million for the year ended December 31, 2024. As of December 31, 2024, our largest customer accounted for 49.0% of our total accounts receivable, which was then reduced to 11.8% by December 31, 2025. The Company adjusted its sales approach to mitigate risks associated with dependency on a single customer, despite the potential negative effect on our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from sales of swine vaccines. </w:t>
      </w:r>
      <w:r>
        <w:rPr>
          <w:rFonts w:ascii="Times New Roman" w:cs="Times New Roman" w:eastAsia="Times New Roman" w:hAnsi="Times New Roman"/>
          <w:sz w:val="18"/>
          <w:szCs w:val="18"/>
          <w:color w:val="auto"/>
        </w:rPr>
        <w:t>Our revenue from sales of swine vaccines dropped from RMB157.8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RMB90.1 million (US$12.9 million) for the year ended December 31, 2025. Our revenue from sales of swine vaccines dropped from RMB188.9 million for the year ended December 31, 2023 to RMB157.8 million for the year ended December 31, 2024. This decline was primarily driven by a downturn in the hog market in 2025, characterized by low and volatile prices. Additionally, government macro-control policies aimed at reducing the inventory of productive sows to alleviate periodic oversupply contributed to the reduced demand for swine vaccines.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from sales of poultry vaccines. </w:t>
      </w:r>
      <w:r>
        <w:rPr>
          <w:rFonts w:ascii="Times New Roman" w:cs="Times New Roman" w:eastAsia="Times New Roman" w:hAnsi="Times New Roman"/>
          <w:sz w:val="18"/>
          <w:szCs w:val="18"/>
          <w:color w:val="auto"/>
        </w:rPr>
        <w:t>Our revenue from sales of poultry vaccines dropped from RMB15.5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RMB12.5 million (US$1.8 million) for the year ended December 31, 2025. Our revenue from sales of poultry vaccines increased from RMB15.4 million for the year ended December 31, 2023 to RMB15.5 million for the year ended December 31, 2024. This decline was primarily due to normal market fluctuations.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from sales of other vaccines. </w:t>
      </w:r>
      <w:r>
        <w:rPr>
          <w:rFonts w:ascii="Times New Roman" w:cs="Times New Roman" w:eastAsia="Times New Roman" w:hAnsi="Times New Roman"/>
          <w:sz w:val="18"/>
          <w:szCs w:val="18"/>
          <w:color w:val="auto"/>
        </w:rPr>
        <w:t>Our revenue from sales of other vaccines increased from RMB13.1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RMB13.7 million (US$2.0 million) for the year ended December 31, 2025. Our revenue from sales of other vaccines increased from RMB7.3 million for the year ended December 31, 2023 to RMB13.1 million the year ended December 31, 2024. The increase in sales of other vaccines was caused by the increased sales of the vaccines for sheep.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revenues decreased by 2.7% from RMB95.1 million for the year ended December 31, 2024 to RMB92.5 million (US$13.2 million) for the year ended December 31, 2025. The decrease was mainly due to the decrease in the cost of swine vaccines. Our cost of revenues increased by 1.0% from RMB94.1 million for the year ended December 31, 2023 to RMB95.1 million for the year ended December 31, 2024. The increase was mainly due to the increase in the cost of poultry vaccines.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gross profit decreased from RMB91.3 million for the year ended December 31, 2024 to RMB23.9 million (US$3.4 million) for the year ended December 31, 2025. Our gross profit margin decreased from 49.0% to 20.5%, mainly due to the lower sales price and unchanged fixed cost. Our gross profit decreased from RMB117.5 million for the year ended December 31, 2023 to RMB91.3 million for the year ended December 31, 2024. Our gross profit margin decreased from 55.5% to 49.0%, mainly due to the lower sales price and unchanged fixed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operating expenses increased from RMB74.9 million for the year ended December 31, 2024 to RMB94.4 million (US$13.5 million) for the year ended December 31, 2025, reflecting the increase in our general and administrative expenses, allowance for credit losses, sales and marketing expenses, and research and development expenses. Our total operating expenses increased from RMB72.5 million for the year ended December 31, 2023 to RMB74.9 million for the year ended December 31, 2024, reflecting the decrease in our general and administrative expenses and reversal for credit losses, and increases in our sales and marketing expenses and research and development expenses.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increased from RMB41.3 million for the year ended December 31, 2024 to RMB43.9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(US$6.3 million) for the year ended December 31, 2025. The increase in sales and marketing expenses mainly resulted from an increase in payroll for sales staffs, advertising expenses and entertainment, partially offset by a decrease in marketing promotion expenses. Our sales and marketing expenses increased from RMB40.7 million for the year ended December 31, 2023 to RMB41.3 million for the year ended December 31, 2024. The increase in sales and marketing expenses mainly resulted from an increase in payroll for sales staffs, marketing promotion expenses and entertainment, partially offset by a decrease in travel expenses and advertising expenses.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from RMB22.6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RMB31.0 million (US$4.4 million) for the year ended December 31, 2025. The increase in general and administrative expenses was attributed to the increase in professional technical services and in depreciation and amortization. Our general and administrative expenses decreased from RMB23.6 million for the year ended December 31, 2023 to RMB22.6 million for the year ended December 31, 2024. The decrease in administrative expenses was attributed to the reduction in employee compensation and decrease in depreciation and amortization.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increased from RMB12.8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RMB18.0 million (US$2.6 million) for the year ended December 31, 2025. The increase in research and development expenses mainly resulted from an increase in research and development projects, which led to an increase in material expenses. Our research and development expenses increased from RMB11.9 million for the year ended December 31, 2023 to RMB12.8 million for the year ended December 31, 2024. The increase in research and development expenses mainly resulted from an increase in material expenses.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total spending for each research and development project subsidized by the Government of Jilin Province, the PRC, for the years ended December 31, 2023,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Project Expenses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84"/>
        </w:trPr>
        <w:tc>
          <w:tcPr>
            <w:tcW w:w="598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The Key Technique Study for the Development of the Live Gene-deletion-</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attenuated Vaccine against Ovine and Caprine Ecthyma (Orf)</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939,254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1,495,072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1,023,366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146,339</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Virus Study, Laboratory Sample Preparation and Efficacy Evaluation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Inactivated Bovine Akabane Disease Vaccine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844,513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1,416,313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1,169,696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167,264</w:t>
            </w: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Development of Animal Microecological Vaccine for the Biological Control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African Swine Fever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938,767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Development and Application of Fluorescent ERA Rapid Thermostatic</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Technology for Key Viral Diarrhea Diseases in Pigs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1,130,075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885,882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95,976</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13,724</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research and development project costs is not comparable, and different projects are at different stages and their inputs are different.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Reversal of (provision for) credit losses. </w:t>
      </w:r>
      <w:r>
        <w:rPr>
          <w:rFonts w:ascii="Times New Roman" w:cs="Times New Roman" w:eastAsia="Times New Roman" w:hAnsi="Times New Roman"/>
          <w:sz w:val="18"/>
          <w:szCs w:val="18"/>
          <w:color w:val="auto"/>
        </w:rPr>
        <w:t>Our allowance of credit loss amounted to RMB1.4 million (US$0.2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Our reversal of credit loss amounted to RMB1.8 million for the year ended December 31, 2024. Our reversal of credit loss amounted to RMB3.7 million for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loss was RMB70.5 million (US$10.1 million)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income was RMB16.4 million and RMB45.0 million for the years ended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was RMB83.0 million (US$11.9 million) for the year ended December 31, 2025, and our net income was RMB13.5 million and RMB37.5 million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assumes that we will continue in operation for the foreseeable future and, accordingly, will be able to realize our assets and discharge our liabilities in the normal course of operations as they come due.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net loss of RMB83.0 million (US$11.9 million) for the year ended December 31, 2025. Net cash provided by operating activities was RMB13.3 million (US$1.9 million) for the year ended December 31, 2025. As of December 31, 2025, we had cash and restricted cash of RMB50.3 million (US$7.2 million) and working capital of RMB16.9 million (US$2.4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funded our working capital needs primarily from operations, bank loans, advance payments from customers and contributions by shareholders. Management may decide to enhance our liquidity position or increase our cash reserve for future operations and ongoing finance of short-term bank loans. Management believes that the amount of available cash balance as of December 31, 2025 and forecasted net cash flows for a period of one year after the issuance of the consolidated financial statements will be sufficient for us to satisfy our obligations and commitments when they become due. The accompanying consolidated financial statements have been prepared on the basis we will be able to continue as a going concern for a period of one year after the issuance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(27,665)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(18,979)</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17,440</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financed our operating and investing activities primarily through cash generated from operating and financing activities. As of December 31, 2024 and 2025, our cash were RMB18.6 million and RMB50.3 million (US$7.2 million), respectively. Our cash primarily consists of bank deposits.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our restricted cash was RMB1,500 and RMB1,500 (US$215), respectively. Restricted cash mainly consists of bank time deposits, which are defined as time deposits with original maturities longer than three months but less than one year, or long-term bank deposits with maturity dates within one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and expected cash provided by operating and financing activities will be sufficient to meet our current and anticipated working capital requirements and capital expenditures for the next twelve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revenues have been, and we expect that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their accumulated profits, if any, determined in accordance with Chinese accounting standards and regulations.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PRC subsidiaries are required to set aside at least 10% of their after-tax profits after making up previous years’ accumulated losses each year, if any, to fund certain reserve funds until the total amount set aside reaches 50% of their registered capital. These reserves are not distributable as cash dividends.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PRC subsidiaries only through loans or capital contributions, subject to the approval, filings, or registration of government authorities and limits on the amount of capital contributions and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generated from operating activities was RMB13.3 million (US$1.9 million) in 2025. The difference between our net cash provided by operating activities and our net loss of RMB83.0 million (US$11.9 million) was due to the combined effects of adjustments for non-cash items and changes in working capital. Adjustments for non-cash items primarily included (i) depreciation and amortization of RMB25.9 million (US$3.7 million), as compared to RMB24.2 million in 2024, for we had higher gross property, plant and equipment in 2025 than 2024, (ii) an allowance for credit losses of RMB1.4 million (US$0.2 million), as compared to a reversal of credit losses of RMB1.8 million in 2024, because we had slower collection in 2025, and (iii) the impairment for inventory was RMB12.8 million (US$1.8 million), compared to an impairment of RMB6.0 million in 2024. Changes in working capital mainly resulted from (i) a decrease in notes receivable of RMB21.0 million (US$3.0 million), as compared to an increase of RMB3.8 million in 2024, (ii) a decrease in accounts receivable of RMB39.7 million (US$5.7 million), as compared to a decrease of RMB16.3 million in 2024, for the reduction of receivables from major customers, (iii) a decrease in accounts payable of RMB3.4 million (US$0.5 million), as compared to a decrease of RMB0.4 million in 2024, (iv) a decrease in advance to suppliers of RMB2.0 million (US$0.3 million), as compared to an increase of RMB7.7 million in 2024, because we paid advance to suppliers in the previous year to secure materials, and (v) a decrease in inventory of RMB6.3 million (US$0.9 million), as compared to an increase of RMB5.9 million in 2024.</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generated from operating activities was RMB41.0 million in 2024. The difference between our net cash provided by operating activities and our net income of RMB13.5 million was due to the combined effects of adjustments for non-cash items and changes in working capital. Adjustments for non-cash items primarily included (i) depreciation and amortization of RMB24.2 million, as compared to RMB23.9 million in 2023, for we had higher gross property, plant and equipment in 2024 than 2023, (ii) a reversal of allowance for credit losses of RMB1.8 million, as compared to RMB3.7 million in 2023, because we had stronger collection in 2024, and (iii) The impairment for inventory and intangible asset was RMB6.0 million, compared to an impairment of RMB10.0 million in 2023. Changes in working capital mainly resulted from (i) an increase in note receivables of RMB3.8 million, as compared to a decrease of RMB8.3 million in 2023, (ii) a decrease in accounts receivable of RMB16.3 million, as compared to decrease of RMB31.0 million in 2023, for we continue to have strong collection for our accounts receivable, (iii) a decrease in accounts payable of RMB0.4 million, as compared to a decrease of RMB35.6 million in 2023, (iv) an increase in advance to suppliers of RMB7.7 million, as compared to an increase of RMB0.6 million in 2023, because we paid advance to suppliers to secure materials, (v) an increase in inventory of RMB5.9 million, as compared to an increase of RMB12.9 million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RMB12.6 million (US$1.8 million) in 2025, which represented payments for loans to a related party of RMB7.0 million (US$1.0 million), collection of lending to a related party of RMB7.0 million (US$1.0 million), purchases of property and equipment of RMB1.0 million (US$0.1 million), and purchases of intangible assets of RMB11.6 million (US$1.7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RMB27.7 million in 2024, which represented payments for purchases of property and equipment of RMB13.6 million and purchases of intangible assets of RMB14.2 million.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RMB11.8 million in 2023, which represented payments for purchases of short-term investments of RMB1.2 million, purchase of property and equipment of RMB7.4 million and purchases of intangible assets of RMB4.2 million, offset by proceeds from disposal of property, plant and equipment of RMB1.1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RMB32.3 million (US$4.6 million) in 2025, which represented proceeds from loans of RMB70.5 million (US$10.1 million), repayment of loans of RMB82.6 million (US$11.8 million), proceeds from initial public offering RMB43.1 million (US$6.2 million), and receipt of shareholder’s capital contribution of RMB1.5 million (US$0.2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RMB22.1 million in 2024, which represented proceeds from loans of RMB90.1 million, repayment of loans of RMB92.9 million, dividend payment to shareholders of RMB16.0 million and payment of IPO expenses of RMB 3.5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RMB19.0 million in 2023, which represented proceeds from loans of RMB79.9 million, repayment of loans of RMB54.9 million, dividend payment to shareholders of RMB39.5 million and payment of IPO expenses of RMB4.5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expenditures are primarily incurred for purchases of intangible assets, property, plant and equipment and prepayment for purchase of intangible assets. We made capital expenditures of RMB11.8 million, RMB27.7 million, and RMB12.6 million (US$1.8 million) in the years ended December 31, 2023, 2024, and 2025, respectively. The increase of capital expenditures was mainly because of the increase in patents and investment in office building projects in 2024. Our capital expenditures have been primarily funded by cash generated from the operating entity’s operations. We expect to continue to make capital expenditures to support the expected growth of our business. We also expect that cash generated from the operating entity’s operating activities and financing activities will meet our capital expenditure needs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operating lease commitments, loan repayment, and working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July 21, 2005, RMB is allowed to fluctuate within a narrow and managed band against a basket of certain foreign currencies. It is difficult to predict how market forces or the PRC or U.S. government policy may impact the exchange rate between RMB and the U.S. dollar in the future. To the extent that we need to convert the U.S. dollar into RMB for capital expenditures and working capital and other business purposes, appreciation of RMB against U.S. dollar would have an adverse effect on the RMB amount we would receive from the conversion. Conversely, if we decide to convert RMB into the U.S. dollar for the purpose of making payments for dividends on ordinary shares, strategic acquisitions or investments or other business purposes, appreciation of the U.S. dollar against RMB would have a negative effect on the U.S. dollar amount available to us. In addition, a significant depreciation of RMB against the U.S. dollar may significantly reduce the U.S. dollar equivalent of our earnings or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social and economic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substantial operations in China through its PRC subsidiary, Jilin Zhengye.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of our consolidated financial statements, this may not be indicative of future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interest rate risk on its interest-bearing assets and liabilities. As part of its asset and liability risk management, the Company reviews and takes appropriate steps to manage its interest rate exposure on its interest-bearing assets and liabilities. The Company has not been exposed to material risks due to changes in market interest rates and has not used any derivative financial instruments to manage the interest risk exposure during the period/year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in bank and accounts receivable. The Company places its cash with financial institutions with high credit ratings and quality.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credit evaluations of customers, and generally does not require collateral or other security from its customers. The Company establishes an allowance for expected credit losses primarily based upon the factors surrounding the credit risk of specific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customers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one major client accounted for 49.0% of the Company’s total accounts receivable. The client is a listed company and a leading pig farming company in China. The Company’s outstanding accounts receivable from its largest client, which accounted for 49.0% of the Company’s total accounts receivable as of December 31, 2024, has been fully collected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two clients accounted for 11.8% and 11.6% of the Company’s total accounts receivable,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two clients accounted for 52.1% and 15.0% of the Company’s total revenues, respectively. For the year ended December 31, 2024, one client accounted for 44.6% of the Company’s total revenues. For the year ended December 31, 2025, one client accounted for 13.7% of the Company’s total revenues.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one vendor accounted for 13.7% of the Company’s total accounts payable. As of December 31, 2025, one vendor accounted for 10.2% of the Company’s total accounts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no vendor accounted above 10% of the Company’s total purchases. For the year ended December 31, 2024, one vendor accounted for 14.2% of the Company’s total purchases. For the year ended December 31, 2025, two vendors accounted for 12.3% and 12.2% of the Company’s total purchases,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working capital needs, capital expenditures, operating lease obligations, and long-term and short-term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Payment Due by Period (in thousands)</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1 – 3</w:t>
            </w:r>
          </w:p>
        </w:tc>
        <w:tc>
          <w:tcPr>
            <w:tcW w:w="132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3 – 5</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5 Years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75,083</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65,906</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8,902</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tcPr>
          <w:p>
            <w:pPr>
              <w:spacing w:after="0"/>
              <w:rPr>
                <w:sz w:val="18"/>
                <w:szCs w:val="18"/>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Research and Development, Patents and Licenses, etc.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 and “Item 5. Operating and Financial Review and Prospects—A.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Trend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report, we are not aware of any trends, uncertainties, demands, commitments or events for the years ended December 31, 2025, 2024, and 2023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POLICIES,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accounting policy is considered critical if it requires an accounting estimate to be made based on assumptions about matters that are uncertain and requires significant judgment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Significant accounting policies we follow in the preparation of the accompanying consolidated financial statements are summarized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To determine revenue recognition for contracts with customers, the Company performs the following five steps: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manufactures and sells veterinary vaccines, with an emphasis on vaccines for livestock, to customers.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 with their customers to provide veterinary vaccines, mainly vaccines for livestock. All of the Company’s contracts have single performance obligation as the promise is to transfer the goods to customers, and there are no other separately identifiable promises in the contracts. The Company recognizes revenue when it transfers its goods to customers in an amount that reflects the consideration to which the Company expects to be entitled in such exchange. The Company accounts for the revenue generated from sales of its products to its customers on a gross basis, because the Company is acting as a principal in these transactions, is subject to inventory risk, has latitude in establishing prices, and is responsible for fulfilling the promise to provide customers the specified goods. The Company’s revenue is recognized at a point in time when the control has been transferred, usually when the customer accepts the goods.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their distributors with sales rebate. According to the items in the contract, the Company pays certain sales rebate, in the form of products with equivalent value, to distributor once the distributor purchases stipulated amount products from the Company. Sales rebate is considered as variable consideration. The Company estimates annual expected revenue of each individual distributor with reference to their historical results. The sales rebate reduces revenues recognized. At the end of each reporting period, the Company updates the estimated revenue to represent faithfully the circumstances present at the end of the reporting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sales rebate, the Company’s products are sold with no right of return and the Company does not provide other credits or sales incentives to customers. Revenue is reported net of value added tax (“VAT”), collected on behalf of tax authorities in respect of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the historical carrying amount net of allowance for expected credit losses.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policy for estimating credit losses also applies to notes receivable and other receivables. To estimate expected credit losses, the Company has identified the relevant risk characteristics of its customers and the related receivables. The Company considers the past collection experience, current economic conditions, future economic conditions (external data and macroeconomic factors) and changes in the Company’s customer collection trends. The allowance for credit losses and corresponding receivables are written off when they are determined to be uncollectible.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Net realizable value is the estimated selling price in the normal course of business less any costs to complete and sell products. Cost of inventory are determined using the weighted average method. The Company records inventory reserves for obsolete and slow-moving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reserves are based on inventory obsolescence trends, historical experience and application of the specific identification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other than 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Company had originally estimated. When these events occur, the Company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of the assets over the fair value of the assets. Impairment charge recognized for the years ended December 31, 2023, 2024, and 2025 were nil, nil, and nil,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 instruments are initially recorded at fair value as either assets or liabilities in the accompanying balance sheet and subsequently remeasured to fair value at each reporting date, regardless of the purpose or intent for holding the derivative. The resulting derivative assets or liabilities are shown as a single line and are not net off against one another on the face of the balance sheet. The method of recognizing the resulting gain or loss is dependent on whether the derivative contract qualifies for hedge accounting and has been designated as a hedging instrument. For derivative instruments that are not designated or that do not qualify as hedging instruments under ASC 815 – Derivatives and Hedging, the assets have been recognized as “derivative assets” included in the short-term investments and the liability has been recognized as “derivative liabilities” on the balance sheet and changes in the fair value of the derivative financial instruments are recognized in earnings. Gains and losses from the Company’s non-designated foreign currency swap contracts and interest rate swap contracts are recorded in other income in the Company’s consolidated statements of income and comprehensive income but do not impact our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 Deferred tax assets are recognized to the extent that it is probable that taxable profits will be available against which deductible temporary differences can be utilized, which can require the use of accounting estimation and the exercise of judgement. The impact of an uncertain income tax position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 Significant judgment is required in determining the valuation allowance. In assessing the need for a valuation allowance, we consider all sources of taxable income, including projected future taxable income, reversing taxable temporary differences, and ongoing tax planning strategies.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detailed discussion on recent accounting pronouncements, see Note 2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Directors and Senior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Unless otherwise stated, the business address for our directors and executive officers is that of our principal executive offices at No.1 Lianmeng Road, Jilin Economic &amp; Technical Development Zone, Jilin City, Jilin Province, China.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76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Zhenfa Han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Songlin Song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Aiden Han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Wenhua Sun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Ping Wang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Zhongyao Liu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 Lian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General Manager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Yuhong Cheng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General Manager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Ping Jiang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Guohan Li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Qiyi Hu</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 and directors: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Zhenfa Han </w:t>
      </w:r>
      <w:r>
        <w:rPr>
          <w:rFonts w:ascii="Times New Roman" w:cs="Times New Roman" w:eastAsia="Times New Roman" w:hAnsi="Times New Roman"/>
          <w:sz w:val="18"/>
          <w:szCs w:val="18"/>
          <w:color w:val="auto"/>
        </w:rPr>
        <w:t>has been our Director since March 2023 and Chairman of the Board since May 2023. He has served as the Director of the operating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April 2004, and he served as the Chairman of the Board of the operating entity from September 2015 to September 2018. He reassumed the role of Chairman of the Board of the operating entity since January 2022. Mr. Han also held the following prominent positions outside of our Company: a member</w:t>
      </w:r>
    </w:p>
    <w:p>
      <w:pPr>
        <w:jc w:val="both"/>
        <w:spacing w:after="0" w:line="236" w:lineRule="auto"/>
        <w:rPr>
          <w:sz w:val="20"/>
          <w:szCs w:val="20"/>
          <w:color w:val="auto"/>
        </w:rPr>
      </w:pPr>
      <w:r>
        <w:rPr>
          <w:rFonts w:ascii="Times New Roman" w:cs="Times New Roman" w:eastAsia="Times New Roman" w:hAnsi="Times New Roman"/>
          <w:sz w:val="18"/>
          <w:szCs w:val="18"/>
          <w:color w:val="auto"/>
        </w:rPr>
        <w:t>of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National Committee of the Chinese People’s Political Consultative Conference (“CPPCC”), a member of the Social and Legal Affairs Committee of the CPPCC, a standing committee member of the Jilin Provincial CPPCC, the Deputy Director of the Legal Affairs Committee of the Jilin Provincial CPPCC, a standing committee member of the All-China Federation of Industry and Commerce, the Vice President of the Agricultural Industry Chamber of Commerce under the All-China Federation of Industry and Commerce, the Vice President of the Jilin Provincial Federation of Industry and Commerce, the Executive Director of China Society for Promotion of the Guangcai Program, the Executive Director of the China Animal Agriculture Association, and the President of the Jilin Provincial Animal Husbandry Association. He obtained his bachelor’s degree in philosophy from Jilin Provincial Party School in the PRC in 1989.</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Songlin Song </w:t>
      </w:r>
      <w:r>
        <w:rPr>
          <w:rFonts w:ascii="Times New Roman" w:cs="Times New Roman" w:eastAsia="Times New Roman" w:hAnsi="Times New Roman"/>
          <w:sz w:val="18"/>
          <w:szCs w:val="18"/>
          <w:color w:val="auto"/>
        </w:rPr>
        <w:t>has been our Chief Executive Officer since May 2023. He has served as the Director and General Manager of the operating entity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2018. Prior to joining the operating entity, Mr. Song was a General Manager of China Animal Husbandry Industry Co., Ltd., from April 2018 to August 2018. Mr. Song is an advisor of the master programs in Jilin University College of Veterinary Medicine. Mr. Song holds Senior Veterinarian Professional Title and Principal Senior Economist Professional Title in China. He obtained his bachelor’s degree in veterinary medicine from China Agriculture University in 1998.</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Aiden Han </w:t>
      </w:r>
      <w:r>
        <w:rPr>
          <w:rFonts w:ascii="Times New Roman" w:cs="Times New Roman" w:eastAsia="Times New Roman" w:hAnsi="Times New Roman"/>
          <w:sz w:val="18"/>
          <w:szCs w:val="18"/>
          <w:color w:val="auto"/>
        </w:rPr>
        <w:t>has been our Co-Chief Executive Officer since March 2025. Mr. Aiden Han is the son of Zhenfa Han, a director and the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He received his bachelor’s degree in business administration from University of Southern California in 2017.</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Wenhua Sun </w:t>
      </w:r>
      <w:r>
        <w:rPr>
          <w:rFonts w:ascii="Times New Roman" w:cs="Times New Roman" w:eastAsia="Times New Roman" w:hAnsi="Times New Roman"/>
          <w:sz w:val="18"/>
          <w:szCs w:val="18"/>
          <w:color w:val="auto"/>
        </w:rPr>
        <w:t>has been our Director since May 2023. Ms. Sun has been the General Manager of Beijing Huazheng Property Management Co., Ltd.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2020. She also has been the Director of Zhengye Investment Co., Ltd. and the Director and General Manager of Beijing Hanzhenyuan International Hotel Co., Ltd. since August 2014. Ms. Sun obtained her bachelor’s degree in party and government management from Changchun Radio and Television University in the PRC in 1987.</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Ping Wang </w:t>
      </w:r>
      <w:r>
        <w:rPr>
          <w:rFonts w:ascii="Times New Roman" w:cs="Times New Roman" w:eastAsia="Times New Roman" w:hAnsi="Times New Roman"/>
          <w:sz w:val="18"/>
          <w:szCs w:val="18"/>
          <w:color w:val="auto"/>
        </w:rPr>
        <w:t>has been our Chief Financial Officer (“CFO”) since May 2023. He has served as the CFO of the operating entity since December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Wang has over nineteen years of experience in finance performance control. Prior to joining the operating entity, Mr. Wang was a Financial Director of Beijing Sanju Environmental Protection &amp; New Materials Co., Ltd., from January 2017 to November 2021. Mr. Wang holds Intermediate Accountant Qualification and Auditor Qualification in China. He obtained his bachelor’s degree in financial accounting education from Jilin Agricultural University in the PRC in 2003. Mr. Wang became a Certified Internal Auditor of the Institute of Internal Auditors in November 2014.</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Zhongyao Liu </w:t>
      </w:r>
      <w:r>
        <w:rPr>
          <w:rFonts w:ascii="Times New Roman" w:cs="Times New Roman" w:eastAsia="Times New Roman" w:hAnsi="Times New Roman"/>
          <w:sz w:val="18"/>
          <w:szCs w:val="18"/>
          <w:color w:val="auto"/>
        </w:rPr>
        <w:t>has been our Chief Operating Officer since April 2024. He has served as the Director, Vice General Manager, and Board Secretary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entity since April 2021. Prior to joining the operating entity, Mr. Liu was an M&amp;A Manager of Beijing Oriental Yuhong Waterproof Technology Co., Ltd. From March 2019 to September 2020, Mr. Liu served as a Senior Investment Manager at Beijing New Building Materials Public Limited. From April 2018 to March 2019, he served as an Oversea Investment Manager at Jilin Yatai (Group) Co., Ltd. He obtained bachelor’s degree in marketing from Jilin University in the PRC in 2008. He also obtained a master’s degree in financial engineering from Nagasaki University in Japan in 2012. Mr. Liu became a Certified Management Accountant of the Institute of Certified Management Accountants of the U.S. in September 2018.</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Wei Lian </w:t>
      </w:r>
      <w:r>
        <w:rPr>
          <w:rFonts w:ascii="Times New Roman" w:cs="Times New Roman" w:eastAsia="Times New Roman" w:hAnsi="Times New Roman"/>
          <w:sz w:val="18"/>
          <w:szCs w:val="18"/>
          <w:color w:val="auto"/>
        </w:rPr>
        <w:t>has been our Vice General Manager since May 2023. He has served as the Deputy General Manager of the operating entity since April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Lian is an advisor of the master programs in Jilin Agricultural University School of Veterinary Medicine. He holds Senior Veterinarian Professional Title in China. Mr. Lian obtained his bachelor’s degree in animal medicine from Jilin Agricultural University in the PRC in 2005. He also obtained a master’s degree of veterinary from Jilin Agricultural University in the PRC in 2012.</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Yuhong Cheng </w:t>
      </w:r>
      <w:r>
        <w:rPr>
          <w:rFonts w:ascii="Times New Roman" w:cs="Times New Roman" w:eastAsia="Times New Roman" w:hAnsi="Times New Roman"/>
          <w:sz w:val="18"/>
          <w:szCs w:val="18"/>
          <w:color w:val="auto"/>
        </w:rPr>
        <w:t>has been our Vice General Manager since May 2023. She has served as the Deputy General Manager of the operating entity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2020. She was the Director of Human Resources and Administration of the operating entity from October 2018 to August 2020. Ms. Cheng obtained her junior college’s degree in industrial foreign trade from Jilin Institute of Chemical Technology in the PRC in 1998, and bachelor’s degree in English education from Northeast Normal University in the PRC in 2002.</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Ping Jiang </w:t>
      </w:r>
      <w:r>
        <w:rPr>
          <w:rFonts w:ascii="Times New Roman" w:cs="Times New Roman" w:eastAsia="Times New Roman" w:hAnsi="Times New Roman"/>
          <w:sz w:val="18"/>
          <w:szCs w:val="18"/>
          <w:color w:val="auto"/>
        </w:rPr>
        <w:t>has served as our Independent Director since September 30, 2024. Mr. Jiang has been working in College of Veterinary Medicine of Nanjing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Agricultural University since September 1989. From July 2018 to September 2023, he served as the dean of College of Veterinary Medicine of Nanjing Agricultural University. Mr. Jiang obtained his bachelor’s degree in veterinary medicine from Nanjing Agricultural University in 1986, his master’s degree in preventive veterinary medicine from Nanjing Agricultural University in 1989, and his doctor’s degree in infectious diseases and preventive veterinary medicine from Nanjing Agricultural University in 1998.</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Guohan Li </w:t>
      </w:r>
      <w:r>
        <w:rPr>
          <w:rFonts w:ascii="Times New Roman" w:cs="Times New Roman" w:eastAsia="Times New Roman" w:hAnsi="Times New Roman"/>
          <w:sz w:val="18"/>
          <w:szCs w:val="18"/>
          <w:color w:val="auto"/>
        </w:rPr>
        <w:t>has served as our Independent Director since March 24, 2026. Mr. Li has extensive experience in accounting. He has served as a partner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Shenzhen branch of Zhongshen Zhonghuan Certified Public Accountants LLP (Special General Partnership) since September 2023, where he is responsible for client engagement, business development, and oversight of professional services. From February 2021 to August 2023, he was a partner at Shenzhen Yida Certified Public Accountants Co., Ltd., with similar responsibilities. Mr. Li obtained his bachelor’s degree in accounting from Shenzhen University in 2004.</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Qiyi Hu </w:t>
      </w:r>
      <w:r>
        <w:rPr>
          <w:rFonts w:ascii="Times New Roman" w:cs="Times New Roman" w:eastAsia="Times New Roman" w:hAnsi="Times New Roman"/>
          <w:sz w:val="18"/>
          <w:szCs w:val="18"/>
          <w:color w:val="auto"/>
        </w:rPr>
        <w:t>has served as our Independent Director since March 24, 2026. Mr. Hu has extensive experience in corporate management. He has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Rongshi (Beijing) Technology Co., Ltd. since January 2019, a company that operates an agriculture-focused business education and industry services platform providing executive training, advisory programs, and industry research designed to enhance the management capabilities, strategic decision-making, and growth of agricultural enterprises. In this role, he oversees strategic planning, team management, and business development. Mr. Hu obtained a bachelor’s degree in engineering from China Agricultural University in 1990, a master’s degree in international finance from Renmin University of China in 2000, and a master’s degree in business administration from Tsinghua University in 2011.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Diversity</w:t>
            </w:r>
          </w:p>
        </w:tc>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date of this annual report.</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4480" w:type="dxa"/>
            <w:vAlign w:val="bottom"/>
          </w:tcPr>
          <w:p>
            <w:pPr>
              <w:spacing w:after="0"/>
              <w:rPr>
                <w:sz w:val="24"/>
                <w:szCs w:val="24"/>
                <w:color w:val="auto"/>
              </w:rPr>
            </w:pP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391"/>
        </w:trPr>
        <w:tc>
          <w:tcPr>
            <w:tcW w:w="4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4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45"/>
        </w:trPr>
        <w:tc>
          <w:tcPr>
            <w:tcW w:w="4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Male</w:t>
            </w: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10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35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Mrs. Wenhua Sun, our Director, is the spouse of Mr. Zhenfa Han, and Mr. Aiden Han, our Co-Chief Executive Officer, is the son of Mr. Zhenfa Han, our Chief Executive Officer, Director, and Chairman of the Board. Except as disclosed, no other directors or executive officers has a family relationship as defined in Item 401 of Regulation S-K.</w:t>
      </w:r>
    </w:p>
    <w:p>
      <w:pPr>
        <w:spacing w:after="0" w:line="172" w:lineRule="exact"/>
        <w:rPr>
          <w:sz w:val="20"/>
          <w:szCs w:val="20"/>
          <w:color w:val="auto"/>
        </w:rPr>
      </w:pPr>
    </w:p>
    <w:p>
      <w:pPr>
        <w:ind w:left="220" w:hanging="212"/>
        <w:spacing w:after="0"/>
        <w:tabs>
          <w:tab w:leader="none" w:pos="2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RMB4,632,687 (US$662,465) as compensation to our executive officers and directors.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set aside or accrued any amount to provide pension, retirement, or other similar benefits to our directors and executive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board of directors, or Board of Directors, consists of five directors, including three independent directors. Unless a shareholding qualification for directors is fixed by ordinary resolution passed by the Company’s shareholders, a director is not required to hold any shares in our Company to qualify to serve as a director. Subject to the Cayman Companies Act and our amended and restated memorandum and articles of association,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shareholders for any remuneration, profit or other benefits realized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our articles of association herein. An independent director is prohibited from entering into any transaction that would constitute a “related party transaction”, as defined by the rules and regulations of the Nasdaq Stock Market or under applicable laws, that could reasonably affect their status as an independent director. A director who to his knowledge is in any way, whether directly or indirectly, interested in a contract or arrangement or proposed contract or arrangement with the Company shall declare the nature of his interest at the meeting of the board of directors at which the question of entering into the contract or arrangement is first considered, if he knows his interest then exists, or in any other case at the first meeting of the board of directors after he knows that he is or has become so interested. A general notice to the board of directors by a director to the effect that: (a) he is a member or officer of a specified company or firm and is to be regarded as interested in any contract or arrangement which may after the date of the notice be made with that company or firm; or (b) he is to be regarded as interested in any contract or arrangement which may after the date of the Notice be made with a specified person who is connected with him; shall be deemed to be a sufficient declaration of interest in relation to any such contract or arrangement, provided that no such notice shall be effective unless either it is given at a meeting of the board of directors or the director takes reasonable steps to secure that it is brought up and read at the next Board meeting after it is given. Following a declaration being made pursuant to our articles of association, subject to any separate requirement for audit committee approval under applicable law or the rules and regulations of the Nasdaq Stock Market, and unless disqualified by the chairman of the relevant board of directors meeting, a director may vote in respect of any contract or proposed contract or arrangement in which such director is interested and may be counted in the quorum at such meeting. The directors may exercise all the powers of the company to borrow money and to mortgage or charge all or any part of its undertaking, property, assets (present and future) and uncalled capital, and subject to the Cayman Companies Act, to issue debentures, bonds and other securities, whether outright or as collateral security party for any debt, liability obligation of the company or of any third party.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audit committee consists of Guohan Li, Qiyi Hu, and Ping Jiang. Guohan Li is the chairperson of our audit committee.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that Guohan Li, Qiyi Hu, and Ping Jiang satisfy the “independence” requirements of the Nasdaq listing rules under and Rule 10A-3 under the Securities Exchange Act. Our board also has determined that Guohan Li,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spacing w:after="0" w:line="183"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Qiyi Hu, Ping Jiang, and Guohan Li. Qiyi Hu is the chairperson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We have determined that Qiyi Hu, Ping Jiang, and Guohan Li satisfy the “independence” requirements of the Nasdaq listing rules and Rule 10C-1 under the Securities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total compensation package for our most senior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consultants, legal counsel or other advisors after taking into consideration all factors relevant to that person’s independence from management;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programs or similar arrangements, annual bonuses, employee pension and welfare benefit plans.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Ping Jiang, Qiyi Hu and Guohan Li.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Ping Jiang is the chairperson of our nominating and corporate governance committee. We have determined that Ping Jiang, Qiyi Hu and Guohan Li satisfy the “independence” requirements of the Nasdaq listing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its current composition in light of the characteristics of independence, age, skills, experience and availability of service to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our board the directors to serve as members of committees;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Powers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the best interests of our Company.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our Company, our directors must ensure compliance with the memorandum and articles of association of our Company, as amended and restated from time to time. Our Company has the right to seek damages if a duty owed by our directors is breached. In limited exceptional circumstances, a shareholder may have the right to seek damages in the name of our Company if a duty owed by our directors is breached.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In accordance with our amended and restated memorandum and articles of association and the Cayman Companies Act, the duties and powers of our board of directors include, among others:</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the company and mortgaging the property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registering a register of mortgages, charges, or other encumbrances of the company.</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its shareholders either to fill a casual vacancy or as an addition to the existing board of directors. In addition, our board may, by the affirmative vote of a simple majority of our directors present and voting at a board meeting appoint any person as a director either to fill a casual vacancy on its board or as an addition to the existing board subject to the Company’s compliance with director nomination procedures required under the rules and regulations of the Nasdaq Stock Market. At each annual general meeting, one-third of our directors for the time being (or if their number is not a multiple of three, then the number nearest to but not greater than one-third) shall retire from office by rotation provided that every director shall be subject to retirement at an annual general meeting at least once every three years. Our directors to retire by rotation shall include any director who wishes to retire and not offer himself for re-election. Any further directors so to retire shall be those who have been longest in office since their last re-election or appointment but as between persons who became or were last re-elected directors on the same day those to retire will (unless they otherwise agree among themselves) be determined by lot. Our director will be cease to be a director automatically if, among other thing, the director (i) resigns his office by notice in writing delivered to the Company at the office or tendered at a meeting of the board of directors (ii) is found to be or becomes of unsound mind or dies; (iii) without special leave of absence from our board of directors, is absent from three consecutive meetings of our board and our board resolves that his office be vacated; (iv) becomes bankrupt or has a receiving order made against him or suspends payment or compounds with his creditors; (v) is prohibited by law from being a director; or (vi) is removed from office pursuant to the laws of the Cayman Islands or any other provisions of our articles of association, as amended from time to time. All of our executive officers are appointed by and serve at the discretion of our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currently no shareholding qualification for directors, although a shareholding qualification for directors may be fixed by our shareholders by amending our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Pursuant to employment agreements, the form of which is filed as Exhibit 10.1 to this registration statement, we agree to employ each of our executive officers for a specified time period, which may be renewed upon both parties’ agreement 30 days before the end of the current employment term.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one-month prior written notice. Each executive officer has agreed to hold, both during and after the employment agreement expires, in strict confidence and not to use or disclose to any person, corporation or other entity without written consent, any confidential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Participation Concerning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Chairman of the Board of Directors and director, Mr. Zhenfa Han has been making all determinations regarding executive officer compensation from the inception of our Company. When our Compensation Committee is set up, it will be making all determination regarding executive officer compensation (please see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 our directors, officers and employees. We have made our code of business conduct and ethics publicly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Recovery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executive compensation recovery policy applicable to our officers, and employees, including our chief executive officer, chief financial officer, principal accounting officer or controller or persons performing similar functions. We have made our executive compensation recovery policy publicly available on our website.</w:t>
      </w:r>
    </w:p>
    <w:p>
      <w:pPr>
        <w:spacing w:after="0" w:line="172" w:lineRule="exact"/>
        <w:rPr>
          <w:sz w:val="20"/>
          <w:szCs w:val="20"/>
          <w:color w:val="auto"/>
        </w:rPr>
      </w:pPr>
    </w:p>
    <w:p>
      <w:pPr>
        <w:ind w:left="220" w:hanging="212"/>
        <w:spacing w:after="0"/>
        <w:tabs>
          <w:tab w:leader="none" w:pos="2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Share Ownership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annual report by our officers, directors, and 5% or greater beneficial owners of Ordinary Shares. There is no other person or group of affiliated persons known by us to beneficially own more than 5% of our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is calculated based on 10,965,000 Class A Ordinary Shares and 18,760,000 Class B Ordinary Shares issued and outstanding as of the date of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59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45"/>
        </w:trPr>
        <w:tc>
          <w:tcPr>
            <w:tcW w:w="590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Power</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5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Zhenfa Han</w:t>
            </w:r>
            <w:r>
              <w:rPr>
                <w:rFonts w:ascii="Times New Roman" w:cs="Times New Roman" w:eastAsia="Times New Roman" w:hAnsi="Times New Roman"/>
                <w:sz w:val="29"/>
                <w:szCs w:val="29"/>
                <w:color w:val="auto"/>
                <w:vertAlign w:val="superscript"/>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86.79%</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Wenhua Sun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Aidan Han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Ping Wang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Songlin Song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172,413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Zhongyao Liu</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5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 Lian</w:t>
            </w:r>
            <w:r>
              <w:rPr>
                <w:rFonts w:ascii="Times New Roman" w:cs="Times New Roman" w:eastAsia="Times New Roman" w:hAnsi="Times New Roman"/>
                <w:sz w:val="29"/>
                <w:szCs w:val="29"/>
                <w:color w:val="auto"/>
                <w:vertAlign w:val="superscript"/>
              </w:rPr>
              <w:t>(3)(i)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57"/>
        </w:trPr>
        <w:tc>
          <w:tcPr>
            <w:tcW w:w="5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Yawen Dong</w:t>
            </w:r>
            <w:r>
              <w:rPr>
                <w:rFonts w:ascii="Times New Roman" w:cs="Times New Roman" w:eastAsia="Times New Roman" w:hAnsi="Times New Roman"/>
                <w:sz w:val="29"/>
                <w:szCs w:val="29"/>
                <w:color w:val="auto"/>
                <w:vertAlign w:val="superscript"/>
              </w:rPr>
              <w:t>(3)(ii)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57"/>
        </w:trPr>
        <w:tc>
          <w:tcPr>
            <w:tcW w:w="5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Yuyou He</w:t>
            </w:r>
            <w:r>
              <w:rPr>
                <w:rFonts w:ascii="Times New Roman" w:cs="Times New Roman" w:eastAsia="Times New Roman" w:hAnsi="Times New Roman"/>
                <w:sz w:val="13"/>
                <w:szCs w:val="13"/>
                <w:color w:val="auto"/>
              </w:rPr>
              <w:t>(3)(iii)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5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Wanlin Zhang</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Yuhong Cheng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Ping Jiang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Guohan Li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Qiye Hu</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(14 individuals):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1,772,436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40,000,000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5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Zhenfa Han</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86.79%</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99.22%</w:t>
            </w:r>
          </w:p>
        </w:tc>
      </w:tr>
      <w:tr>
        <w:trPr>
          <w:trHeight w:val="39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Securingium Holding Limited</w:t>
            </w:r>
            <w:r>
              <w:rPr>
                <w:rFonts w:ascii="Times New Roman" w:cs="Times New Roman" w:eastAsia="Times New Roman" w:hAnsi="Times New Roman"/>
                <w:sz w:val="29"/>
                <w:szCs w:val="29"/>
                <w:color w:val="auto"/>
                <w:vertAlign w:val="superscript"/>
              </w:rPr>
              <w:t>(2)(4)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99.08%</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No.1 Lianmeng Road, Jilin Economic &amp; Technical Development Zone, Jilin City, Jilin Province, China.</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40,000,000 Class B Ordinary Shares held by Securingium Holding Limited, a BVI company, which is (i) 0.01% owned by Jiahe Developments Limited, which itself is 100% owned by Zhenfa Han, and (ii) 99.99% owned by TSset Holding Limited, which itself is 100% owned by Trident Trust Company (HK) Limited, which acts as the trustee of Generations United Trust. The settlor, beneficiary, and protector of Generations United Trust is Zhenfa Han. The registered address of Securingium Holding Limited is Sea Meadow House, P.O. Box 116, Road Town, Tortola, BVI.</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2,278,752 Class A Ordinary Shares held by Vanguards Skyline Holdings Limited, a BVI company, which is 100% owned by Changchun Feier Investment Center (Limited Partnership).</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 Lian owns 7.4281% interest in Changchun Feier Investment Center (Limited Partnership), which in turn holds 0.3638%interest in the Company;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Yawen Dong, a former Vice General Manager who retired on April 30, 2024, owns 5.4675% interest in Changchun Feier Investment Center (Limited Partnership), which in turn holds 0.2728% interest in the Company;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Yuyou He former Vice General Manager, retired on July 13, 2026, owns 2.197% interest in Changchun Feier Investment Center (Limited Partnership), which in turn holds 0.1096% interest in the Company. Songlin Song owns 7.5661 % interest in Changchun Feier Investment Center (Limited Partnership), which in turn holds 0.3638 % interest in the Company;</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Ping Wang owns 3.7831 % interest in Changchun Feier Investment Center (Limited Partnership), which in turn holds 0.1819% % interest in the Company;</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Zhongyao Liu owns 1.0088 % interest in Changchun Feier Investment Center (Limited Partnership), which in turn holds 0.0485% % interest in the Company; and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Yuhong Cheng owns 0.7566 % interest in Changchun Feier Investment Center (Limited Partnership), which in turn holds 0.0364% % interest in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Zhenfa Han, our Director and Chairman of the Board, beneficially owns (i) 40,000,000 Class B Ordinary Shares through Securingium Holding Limited, (ii) 678,146 Class A Ordinary Shares through VVAX Holdings Limited, and (iii) 451,486 Class A Ordinary Shares through Vanguards Skyline Holdings Limited.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Wanlin Zhang, a former Vice General Manager, retired on April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approximately 23.34% of our issued and outstanding Class A Ordinary Shares are held in the United States by one record holder (Cede and Company, as nominee for beneficial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other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Transactions with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operating entity sold a motor vehicle to Beijing Hanzhenyuan international hotel Co., Ltd. (“Beijing Hanzhenyuan”), a company controlled by a shareholder of the Company, with a net carrying value of RMB737,713. As of December 31, 2023 and 2024, the amount due from Beijing Hanzhenyuan was RMB737,713 and RMB737,713, and the amount was fully collected subsequently on March 17,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obtained a working capital loan from Jiahe Developments Limited, which is controlled Mr. Zhenfa Han, the principal shareholder, director, and chairman of the board of the directors of the Company, in the amount of RMB145,986. As of December 31, 2024, the amount due to Jiahe Developments Limited was RMB145,986, which was fully repaid on January 27,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operating entity purchased goods from Jilin Huazheng Agriculture and Animal Husbandry Development Co., Ltd. (“Jilin Huazheng”), which is controlled by Mr. Zhenfa Han, the principal shareholder, director, and chairman of the board of the Company, in the amount of RMB126,573, RMB118,883, and RMB127,105 (US$18,176),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operating entity provided a working capital loan to Jinlin Huazheng, in the amount of RMB7,000,000 (US$1,000,987), which was fully repaid on June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operating entity purchased venue and catering services from Beijing Hanzhenyuan, which is controlled by a shareholder of the Company, in the amount of RMB745,700 (US$106,634).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Practices—Employment Agreements and Indemnification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 See “Item 18.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neither we nor the operating entity is a party to any material legal or administrative proceedings. From time to time, the operating entity may be subject to various claims and legal actions arising in the ordinary course of business. Litigation or any other legal or administrative proceeding, regardless of the outcome, is likely to result in substantial cost and diversion of the operating entity’s resources, including management’s time and attention. Furthermore, as of the date of this annual report, the operating entity is not a party to any international claims or litigation with respect to defective products or other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2023, 2024, and 2025, dividends declared amounted to RMB55.1 million, RMB0.2 million, and nil,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keep any future earnings to finance the expansion of our business, and we do not anticipate that any cash dividends will be paid in the foreseeable future. Subject to the PFIC rules, the gross amount of distributions we make to investors with respect to our Class A Ordinary Shares (including the amount of any taxes withheld therefrom) will be taxable as a dividend, to the extent that the distribution is paid out of our current or accumulated earnings and profits, as determined under U.S. federal income tax principles.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on its shares out of profit and/or share premium, provided that in no circumstances may a dividend be paid out of share premium if this would result in the company being unable to pay its debts as they fall due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determine to pay dividends on any of our Class A Ordinary Shares in the future, as a holding company, we will be dependent on receipt of funds from our PRC subsidiary and from the operating entity to our PRC subsidiary. Dividends distributed by our subsidiaries in certain jurisdictions, such as in China, are subject to local taxes. PRC regulations may restrict the ability of our PRC subsidiaries to pay dividends to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PRC regulations permit Hainan Senhan, to pay dividends to Peg Biotechnology only out of their accumulated profits, if any, determined in accordance with Chinese accounting standards and regulations. In addition, Hainan Senhan is required to set aside at least 10% of its after-tax profits each year, if any, to fund a statutory reserve until such reserve reaches 50% of its registered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government also imposes controls on the conversion of RMB into foreign currencies and the remittance of currencies out of the PRC. For instance, SAFE Circular 3 issued on January 26, 2017, provides that banks shall, when dealing with dividend remittance transactions from a domestic enterprise to its offshore shareholders of more than $50,000, review the relevant board resolutions, original tax filing form, and audited financial statements of such domestic enterprise based on the principle of genuine transaction. Furthermore, if our PRC subsidiaries incur debt on their own in the future, the instruments governing the debt may restrict their ability to pay dividends or make other payments. If we or the PRC subsidiaries are unable to receive all of the revenue from our operations, we may be unable to pay dividends on our Class A Ordinary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dividends, if any, on our Class A Ordinary Shares will be paid in U.S. dollars. Peg Biotechnology may be considered a non-resident enterprise for tax purposes, so that any dividends Hainan Senhan pays to Peg Biotechnology may be regarded as China-sourced income and as a result may be subject to PRC withholding tax at a rate of up to 10%. See “Material Income Tax Consideration — Enterprise Taxation in Mainland China.”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us to pay dividends to our shareholders, we will rely on payments from our Hong Kong subsidiary, Peg Biotechnology. Peg Biotechnology will rely on payments made from Hainan Senhan. Hainan Senhan relies on payments made from Jilin Zhengye. If the PRC subsidiaries incur debt on their own behalf in the future, the instruments governing the debt may restrict their ability to pay dividends or make other distributions to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Double Tax Avoidance Arrangement, the 10% withholding tax rate may be lowered to 5% if a Hong Kong resident enterprise owns no less than 25% of a PRC resident enterprise. The 5% withholding tax rate, however, does not automatically apply and certain requirements must be satisfied, including without limitation that (a) the Hong Kong resident enterprise must directly own the required percentage of equity interests and voting rights in the PRC resident enterprise; and (b) the Hong Kong resident enterprise must have directly owned such required percentage in the PRC resident enterprise throughout the 12 months prior to receiving the dividends. In current practice, a Hong Kong resident enterprise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 Avoidance Arrangement with respect to any dividends paid by Hainan Senhan to its immediate holding company, Peg Biotechnology. As of the date of this annual report, we have not applied for the tax resident certificate from the relevant Hong Kong tax authority. Peg Biotechnology intends to apply for the tax resident certificate if and when Hainan Senhan plans to declare and pay dividends to Peg Biotechnology. See “Risk Factors — Risks Relating to Doing Business in the PRC — There are significant uncertainties under the EIT Law relating to the withholding tax liabilities of the PRC subsidiaries, and dividends payable by the PRC subsidiaries to our offshore subsidiaries may not qualify to enjoy certain treaty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Significant Changes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have been listed on the Nasdaq Global Market since January 7, 2025 under the symbol “ZYBT.”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have been listed on the Nasdaq Global Market since January 7, 2025 under the symbol “ZYBT.”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Memorandum and Articles of Association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amended and restated memorandum of association and articles of association, the Cayman Companies Act, and the common law of the Cayman Islands.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Second Amended and Restated Memorandum and Articles of Association, which is filed as Exhibit 1.1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at 3-212 Governors Square, 23 Lime Tree Bay Avenue, P.O. Box 30746, Seven Mile Beach, Grand Cayman KY1-1203,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amended and restated memorandum of association, the objects of our Company are unrestricted, and we have the full power and authority to carry out any object not prohibited by the Cayman Companies Act or any other law of the Cayman Islands and are capable of exercising all the powers exercisable by a natural person or body corporate in any part of the world.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Our amended and restated memorandum and articles of association provide that dividends may be declared and paid out of the funds of our company lawfully available therefor. Under the laws of the Cayman Islands, our Company may pay a dividend out of profit and/or share premium account; provided that in no circumstances may a dividend be paid out of our share premium if this would result in our company being unable to pay its debts as they fall due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at any meeting of shareholders is by show of hands unless a poll is demanded. A poll may be demanded by:</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such meeting;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shareholders present in person or (in the case of a shareholder being a corporation) by its duly authorized representative or by proxy for the time being entitled to vote at the meeting;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(in the case of a shareholder being a corporation) by its duly authorized representative or by proxy representing not less than one-tenth of the total voting rights of all shareholders having the right to vote at the meeting;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(in the case of a shareholder being a corporation) by its duly authorized representative or by proxy and holding shares in us conferring a right to vote at the meeting being shares on which an aggregate sum has been paid up equal to not less than one-tenth of the total sum paid up on all shares conferring that right.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our memorandum and articles of association, a reduction of our share capital and the winding up of our Company. Our shareholders may, among other things, divide or combine their shares by ordinary resolution.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Cayman Companies Act to call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general meetings. Our amended and restated memorandum and articles of association provide that we shall, if required by the Cayman Companies Act, in each year hold a general meeting as our annual general meeting, and shall specify the meeting as such in the notices calling it, and the annual general meeting shall be held at such time and place as may be determined by our directors. General meetings, including annual general meetings, may be held at such times and in any location in the world as may be determined by the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a majority of our board of directors. Advance notice of at least ten clear days is required for the convening of our annual general shareholders’ meeting (if any) and any other general meeting of our shareholders. A quorum required for any general meeting of shareholders consists of, at the time when the meeting proceeds to business, two shareholders holding shares which carry in aggregate (or representing by proxy) or (in the case of a shareholder being a corporation) by its duly authorized representative not less than one-third of all votes attaching to issued and outstanding shares in our company entitled to vote at such general meeting.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Cayman Companies Act does not provide shareholders with any right to requisition a general meeting or to put any proposal before a general meeting. However, these rights may be provided in a company’s memorandum and articles of association. Our amended and restated memorandum and articles of association provide that upon the requisition of any one or more of our shareholders holding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amended and restated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 Ordinary Shares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of transfer in the usual or common form or in a form prescribed by Nasdaq Stock Market or any other form approved by our board of directors. Notwithstanding the foregoing, Ordinary Shares may also be transferred in accordance with the applicable rules and regulations of Nasdaq Stock Market.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properly stamped.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 The period of 30 days may be extended for a further period or periods not exceeding 30 days in respect of any year if approved by our shareholders by ordinary resolution.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 or which ought to have been paid up, at the commencement of the winding up on the shares held by them respectively.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a notice served to such shareholders at least 14 clear days prior to the specified time and place of payment. The shares that have been called upon and remain unpaid are subject to forfeiture.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 our option or at the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holders of these shares, on such terms and in such manner as may be determined by our board of directors. Our company may also repurchase any of our shares on such terms and in such manner as have been approved by our board of directors. Under the Cayman Companies Act, the redemption or repurchase of any share may be paid out of our company’s profits, share premium or out of the proceeds of a new issue of shares made for the purpose of such redemption or repurchase, or out of capital if our company can, immediately following such payment,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Whenever the capital of our company is divided into different classes the rights attached to any such class may,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and articles of association authorize our board of directors to issue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of association also authorize our board of directors to establish from time to time one or more series of preference shares and to determine, with respect to any series of preference shares, the terms and rights of that series, including, among other things:</w:t>
      </w:r>
    </w:p>
    <w:p>
      <w:pPr>
        <w:spacing w:after="0" w:line="162"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and voting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of available authorized but unissued shares. Issuance of these shares may dilute the voting power of holders of Ordinary Shares.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 of members or our corporate records. However, our amended and restated memorandum and articles of association have provisions that provide our shareholders the right to inspect our register of members for such times and on such days as the board of directors shall determine without charge, and to receive our annual audited financial statements. See “Where You Can Find Additional Information.”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 discourage, delay or prevent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articles of association for a proper purpose and for what they believe in good faith to be in the best interests of our company.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Cayman Companies Act distinguishes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 of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Material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entered into any material contracts other than in the ordinary course of business and other than those described in “Item 4. Information on the Company” or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Overview—Regulations—Other Laws—Foreign Exchange Control.”</w:t>
      </w:r>
    </w:p>
    <w:p>
      <w:pPr>
        <w:spacing w:after="0" w:line="221" w:lineRule="exact"/>
        <w:rPr>
          <w:sz w:val="20"/>
          <w:szCs w:val="20"/>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Taxation and Withholding Tax</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brief description of Chinese enterprise income taxation is designed to highlight the enterprise-level taxation on our earnings, which will affect the amount of dividends, if any, we are ultimately able to pay to our shareholders. See “Dividend Policy.”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EIT Law, which was promulgated by the SCNPC on March 16, 2007, became effective on January 1, 2008, and was then last amended on December 29, 2018, and the Implementation Rules of the EIT Law, which were promulgated by the State Council on December 6, 2007, and became effective on January 1, 2008, and most recently amended on December 6, 2024, and became effective on January 20, 2025, enterprises are divided into resident enterprises and non-resident enterprises. Resident enterprises pay enterprise income tax on their incomes obtained in and outside the PRC at the rate of 25%. Non-resident enterprises setting up institutions in the PRC pay enterprise income tax on the incomes obtained by such institutions in and outside the PRC at the rate of 25%. Non-resident enterprises with no institutions in the PRC, and non-resident enterprises with income having no substantial connection with their institutions in the PRC, pay enterprise income tax on their income obtained in the PRC at a reduced rate of 10%.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and we gain substantial income by way of dividends paid to us from the PRC subsidiaries. The EIT Law and its implementation rules provide that China-sourced income of foreign enterprises, such as dividends paid by a PRC subsidiary to its equity holders that are non-resident enterprises, will normally be subject to PRC withholding tax at a rate of 10%, unless any such foreign investor’s jurisdiction of incorporation has a tax treaty with China that provides for a preferential tax rate or a tax exemption.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EIT Law, an enterprise established outside of China with a “de facto management body” within China is considered a “resident enterprise,” which means that it is treated in a manner similar to a Chinese enterprise for enterprise income tax purposes. Although the implementation rules of the EIT Law define “de facto management body” as a managing body that actually, comprehensively manage and control the production and operation, staff, accounting, property, and other aspects of an enterprise, the only official guidance for this definition currently available is set forth in SAT Notice 82,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Zhengye Cayman does not have a PRC enterprise or enterprise group as our primary controlling shareholder and is therefore not a Chinese-controlled offshore incorporated enterprise within the meaning of SAT Notice 82, in the absence of guidance specifically applicable to us, we have applied the guidance set forth in SAT Notice 82 to evaluate the tax residence status of Zhengye Cayman and its subsidiaries organized outside the PRC.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SAT Notice 82, a Chinese-controlled offshore incorporated enterprise will be regarded as a PRC tax resident by virtue of having a “de facto management body” in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we do not meet some of the conditions outlined in the immediately preceding paragraph. For example, as a holding company, the key assets and records of Zhengye Cayman, including the resolutions and meeting minutes of our board of directors and the resolutions and meeting minutes of our shareholders, are located and maintained outside the PRC. In addition, we are not aware of any offshore holding companies with a corporate structure similar to ours that has been deemed a PRC “resident enterprise” by the PRC tax authorities. Accordingly, we believe that Zhengye Cayman and its offshore subsidiaries should not be treated as a “resident enterprise” for PRC tax purposes if the criteria for “de facto management body” as set forth in SAT Notice 82 were deemed applicable to us.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and there is a risk that the PRC tax authorities may deem our company as a PRC resident enterprise since a substantial majority of the members of our management team are located in China, in which case we would be subject to the EIT at the rate of 25% on worldwide income.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“Risk Factors — Risks Relating to Doing Business in the PRC — Under the PRC Enterprise Income Tax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Zhengye Cayman is a PRC resident enterprise for enterprise income tax purposes,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Finally, dividends payable by us to our investors and gains on the sale of our Ordinary Shares may become subject to PRC withholding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shares. Although up to the date of this annual report, Zhengye Cayman has not been notified or informed by the PRC tax authorities that it has been deemed to be a resident enterprise for the purpose of the EIT Law, we cannot assure you that it will not be deemed to be a resident enterprise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25, 2024, the PRC Value-added Tax Law was promulgated and took effect on January 1, 2026. According to this law, the current three-tier basic tax rates of 13%, 9%, and 6% will remain unchanged as follows: (i) a 13% tax rate applies to the sale of goods, processing, repair and replacement services, the leasing of tangible movable property, and the import of goods, unless otherwise specified; (ii) a 9% tax rate applies to the sale of transportation, postal services, basic telecommunications, construction, and real estate leasing services, the sale of real estate, the transfer of land use rights, and the sale or import of goods such as agricultural products, unless otherwise specified; and (iii) a 6% tax rate applies to the sale of other services and intangible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Circular on Comprehensively Promoting the Pilot Program of the Collection of Value-added Tax to Replace Business Tax, or Circular 36, which was promulgated by the Ministry of Finance and the SAT on March 23, 2016 and became effective on May 1, 2016, entities and individuals engaging in the sale of services, intangible assets or fixed assets within the territory of the PRC are required to pay value added tax, or VAT, instead of business tax.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Circular of the Ministry of Finance and the SAT on Adjusting Value-added Tax Rates, where a taxpayer engages in a taxable sales activity for the value-added tax purpose or imports goods, the previous applicable 17% tax rates are lowered to 16%.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Circular on Policies to Deepen Value-added Tax Reform, where a taxpayer engages in a taxable sales activity for the value-added tax purpose or imports goods, the previous applicable 16% and 10% tax rates are lowered to 13% and 9%,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Notice of the Ministry of Finance and the State Administration of Taxation on Value-Added Tax Policies Concerning the Application of Low Tax Rates and Simplified Taxation Method for Certain Goods promulgated on January 19, 2009 and the Notice of the Ministry of Finance and the State Administration of Taxation on Simplifying Value-added Tax Rate Policies promulgated on June 13, 2014 and the Circular 36, the operating entity is subject to VAT, at a rate of 3% on proceeds from sales of biological products which are made of microbes, metabolin of microbes, animal toxin, blood or organism of human beings or animals.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Peg Biotechnology is incorporated in Hong Kong, which is a two-tiered profits tax rates regime, in which the first HK$2 million of assessable profits will be taxed at the rate of 8.25%, and assessable profits above HK$2 million will be taxed at the rate of 16.5%.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or produced before a court of the Cayman Islands. The Cayman Islands are a party to a double tax treaty entered into with the United Kingdom in 2010 but otherwise is not party to any double tax treaties that are applicable to any payments made to or by our Company. There are no exchange control regulations or currency restrictions in the Cayman Islands.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laws of the Cayman Islands, no stamp duty is payable in the Cayman Islands on the issue of shares by, or any transfers of shares of, Cayman Islands companies (except those which hold interests in land in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brief summary does not address the tax consequences to any particular investor or to persons in special tax situations such as:</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as part of a straddle, hedging, conversion or integrated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power or value (including by reason of owning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Class A Ordinary Shares pursuant to the exercise of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through partnerships or other pass-through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beneficiaries of a Trust holding our Class A Ordinary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through a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brief discussion set forth below only addresses U.S. Holders (as defined below) that purchase Class A Ordinary Shares of the Company. Purchasers are urged to consult their own tax advisors about the application of the U.S. federal income tax rules to their particular circumstances as well as the state, local, foreign and other tax consequences to them for the purchase, ownership and disposition of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Applicable to U.S. Holders of Our Class A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brief summary sets forth the material U.S. federal income tax consequences related to the ownership and disposition of our Class A Ordinary Shares. It is directed to U.S. Holders (defined below) of our Class A Ordinary Shares and is based upon laws and relevant interpretations thereof in effect as of the date of this annual report, all of which are subject to change. This brief description does not deal with all possible tax consequences relating to ownership and disposition of our Class A Ordinary Shares or U.S. tax laws, other than the U.S. federal income tax laws, such as the tax consequences under non-U.S. tax laws, state, local and other tax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brief description applies only to U.S. Holders who hold Class A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brief description below of the U.S. federal income tax consequences to “U.S. Holders” will apply to you if you are a beneficial owner of Class A Ordinary Shares and you are, for U.S. federal income tax purposes,</w:t>
      </w:r>
    </w:p>
    <w:p>
      <w:pPr>
        <w:spacing w:after="0" w:line="16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entities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Taxation of Dividends and Other Distributions on Our Class A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our Class A Ordinary Shares continue to be listed on the Nasdaq Stock Market. You are urged to consult your tax advisors regarding the availability of the lower rate for dividends paid with respect to our Class A Ordinary Shares, including the effects of any change in law after the date of this annual report.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 As of December 31, 2025, no dividends were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Taxation of Dispositions of Class A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Passive Foreign Investment Company (PFIC) Consequences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corporation is considered a PFIC, as defined in Section 1297(a) of the US Internal Revenue Code, for any taxable year if either:</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 (the “asset test”).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both"/>
        <w:spacing w:after="0" w:line="255"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the past IPO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(including the cash raised in the past IPO) on any particular quarterly testing date for purposes of the asset test.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operations and the composition of our assets we do not expect to be treated as a PFIC under the current PFIC rules for the fiscal year ended December 31, 2025. We must make a separate determination each year as to whether we are a PFIC, however, there can be no assurance with respect to our status as a PFIC for any future taxable year. With the cash we raised in the past IPO, together with any other assets held for the production of passive income, it is possible that, for any future taxable years,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and the amount of remaining cash we raised in the past IPO. Accordingly, fluctuations in the market price of the Class A Ordinary Shares may cause us to become a PFIC in the future years. In addition, the application of the PFIC rules is subject to uncertainty in several respects and the composition of our income and assets will be affected by how, and how quickly, we spend the cash we raised in the IPO. We are under no obligation to take steps to reduce the risk of us being classified as a PFIC, and as stated above, the determination of the value of our assets will depend upon material facts (including the market price of our Class A Ordinary Shares from time to time and the amount of cash we raised in the IPO)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may still be able to avoid some of the adverse effects of the PFIC regime by making a “purging election” (as described below) with respect to the Class A Ordinary Shares.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spacing w:after="0" w:line="18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your current taxable year, and any amount allocated to any of your taxable year(s) prior to the first taxable year in which we were a PFIC, will be treated as ordinary income,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your other taxable year(s) will be subject to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 </w:t>
      </w:r>
      <w:r>
        <w:rPr>
          <w:rFonts w:ascii="Times New Roman" w:cs="Times New Roman" w:eastAsia="Times New Roman" w:hAnsi="Times New Roman"/>
          <w:sz w:val="18"/>
          <w:szCs w:val="18"/>
          <w:i w:val="1"/>
          <w:iCs w:val="1"/>
          <w:color w:val="auto"/>
        </w:rPr>
        <w:t>Taxation of Dividends and Other Distributions on our Class A Ordinary Shares</w:t>
      </w:r>
      <w:r>
        <w:rPr>
          <w:rFonts w:ascii="Times New Roman" w:cs="Times New Roman" w:eastAsia="Times New Roman" w:hAnsi="Times New Roman"/>
          <w:sz w:val="18"/>
          <w:szCs w:val="18"/>
          <w:color w:val="auto"/>
        </w:rPr>
        <w:t>” generally would not apply.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Class A Ordinary Shares continue to be regularly traded on Nasdaq and if you are a holder of Class A Ordinary Shares, the mark-to-market election would be available to you were we to be or become a PFIC.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Class A Ordinary Shares, including distributions received on the Class A Ordinary Shares and any gain realized on the disposition of the Class A Ordinary Shares.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advisors regarding the application of the PFIC rules to your investment in our Class A Ordinary Shares and the elections discussed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Reporting and Backup Withholding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u w:val="single" w:color="auto"/>
          <w:color w:val="auto"/>
        </w:rPr>
        <w:t>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b w:val="1"/>
          <w:bCs w:val="1"/>
          <w:u w:val="single" w:color="auto"/>
          <w:color w:val="auto"/>
        </w:rPr>
        <w:t>Documents on Display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under the federal proxy rules contained in Sections 14(a), (b), and (c) of the Exchange Act, and our executive officers, directors, and principal shareholders are exempt from the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b w:val="1"/>
          <w:bCs w:val="1"/>
          <w:u w:val="single" w:color="auto"/>
          <w:color w:val="auto"/>
        </w:rPr>
        <w:t>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July 21, 2005, RMB is permitted to fluctuate within a narrow and managed band against a basket of certain foreign currencies. It is difficult to predict how market forces or the PRC or U.S. government policy may impact the exchange rate between RMB and the U.S. dollar in the future. To the extent that we need to convert the U.S. dollar into RMB for capital expenditures and working capital and other business purposes, appreciation of RMB against U.S. dollar would have an adverse effect on the RMB amount we would receive from the conversion. Conversely, if we decide to convert RMB into the U.S. dollar for the purpose of making payments for dividends on our Ordinary Shares, strategic acquisitions or investments or other business purposes, appreciation of the U.S. dollar against RMB would have a negative effect on the U.S. dollar amount available to us. In addition, a significant depreciation of RMB against the U.S. dollar may significantly reduce the U.S. dollar equivalent of our earnings or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social and economic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substantial operations in China through its PRC subsidiary, Jilin Zhengye.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of our consolidated financial statements, this may not be indicative of future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interest rate risk on its interest-bearing assets and liabilities. As part of its asset and liability risk management, the Company reviews and takes appropriate steps to manage its interest rate exposure on its interest-bearing assets and liabilities. The Company has not been exposed to material risks due to changes in market interest rates and has not used any derivative financial instruments to manage the interest risk exposure during the period/year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in bank, accounts receivable and other receivables. The Company places its cash with financial institutions with high credit ratings and quality.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credit evaluations of customers, and generally does not require collateral or other security from its customers. The Company establishes an allowance for expected credit losses primarily based upon the factors surrounding the credit risk of specific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Concentration of customers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one major client accounted for 49.0% of the Company’s total accounts receivable. The client is a listed company and a leading pig farming company in China. The Company’s outstanding accounts receivable from its largest client, which accounted for 49.0% of the Company’s total accounts receivable as of December 31, 2024, has been fully collected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two clients accounted for 11.8% and 11.6% of the Company’s total accounts receivable,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two clients accounted for 52.1% and 15.0% of the Company’s total revenues, respectively. For the year ended December 31, 2024, one client accounted for 44.6% of the Company’s total revenues. For the year ended December 31, 2025, one client accounted for 13.7% of the Company’s total revenues.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one vendor accounted for 13.7% of the Company’s total accounts payable. As of December 31, 2025, one vendor accounted for 10.2% of the Company’s total accounts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no vendor accounted for above 10% of the Company’s total purchases. For the year ended December 31, 2024, one vendor accounted for 14.2% of the Company’s total purchases. For the year ended December 31, 2025, two vendors accounted for 12.3% and 12.2% of the Company’s total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Company—A. History and Development of the Company—Share Reclassification” and “Item 10. Additional Information” for a description of the rights of securities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Number 333-276436), as amended, which was declared effective by the SEC on December 20, 2024, for our IPO, which closed on January 8, 2025. We issued and sold an aggregate of 1,500,000 ordinary shares at the public offering price of $4.00 per share, and Kingswood Capital Partners, LLC, as the representative of the underwriters, exercised its over-allotment option in full to purchase an additional 225,000 ordinary shares of the Company at a public offering price of $4.00 per share. The total gross proceeds received from the IPO, including proceeds from the exercise of the over-allotment option, was $6.9 million. Kingswood Capital Partners, LLC was the underwriter of our IPO.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approximately $1.7 million in total costs and expenses in connection with our IPO and with the issuance of the over-allotment shares. The net proceeds raised from the IPO were approximately $6.0 million after deducting underwriting discounts, other costs and expenses. None of the transaction expenses included payments to directors or officers of our company or their associates, persons owning more than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proceeds raised from the IPO were approximately $6,348,000 after deducting underwriting discounts, from such amount, $5,958,292 of the net proceeds remained available after reimbursing PRC subsidiaries for expenses advanced from them in connection with the IPO. For the period from the effectiveness of the registration statement on Form F-1 to the date as of this annual report, we used approximately RMB20.2 million (US$2.9 million) for conducting R&amp;D projects. We still intend to use the remaining proceeds from our IPO in the manner disclosed in our registration statement on Form F-1, as amended (File Number 333-276436).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this evaluation, our management has concluded that, as of December 31, 2025, our existing disclosure controls and procedures were not effective because of a lack of accounting staff and resources with appropriate knowledge of U.S. GAAP and SEC reporting and compliance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consolidated financial statements in accordance with U.S. GAAP and includes those policies and procedures that</w:t>
      </w:r>
    </w:p>
    <w:p>
      <w:pPr>
        <w:spacing w:after="0" w:line="1" w:lineRule="exact"/>
        <w:rPr>
          <w:sz w:val="20"/>
          <w:szCs w:val="20"/>
          <w:color w:val="auto"/>
        </w:rPr>
      </w:pPr>
    </w:p>
    <w:p>
      <w:pPr>
        <w:ind w:left="240" w:hanging="232"/>
        <w:spacing w:after="0"/>
        <w:tabs>
          <w:tab w:leader="none" w:pos="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Company’s internal control over financial reporting as of December 31, 2024 based on criteria established in Internal Control—Integrated Framework issued by the Committee of Sponsoring Organizations of the Treadway Commission (COSO 2013 Framework). Based on this evaluation, we identified one deficiency, which related to a lack of accounting staff and resources with appropriate knowledge of U.S. GAAP and SEC reporting and compliance requirements, and which we believe to be a material weakness as of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above material weakness, management has concluded that our internal control over financial reporting was not effective as of December 31, 2025. To remedy our identified material weakness as of December 31, 2025, we have identified certain remedial steps and also plan to adopt certain measures to improve our internal control over financial reporting as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of the Material Weakness in Internal Control over Financial Reporting Reported as of December 31, 2025</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fully addressed the above-referenced weakness. However, we have made progress in implementing remedial measures, including: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qualified accounting personnel with relevant U.S. GAAP and SEC reporting experience and qualifications to strengthen the financial reporting function and to establish a financial and system control framework. For example, our CFO Mr. Ping Wang is a holder of Intermediate Accountant Qualification and Auditor Qualification and our COO Mr. Zhongyao Liu is a holder of a Certified Management Accountant of the Institute of Certified Management Accountants of the U.S.;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regular and continuous U.S. GAAP accounting and financial reporting training programs for our accounting and financial reporting personnel. For example, our employees in the financial department and security department attended the U.S. GAAP accounting and financial reporting training online courses provided by the Institute of Management Accountants.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Guohan Li qualifies as an “audit committee financial expert” as defined in Item 16A of Form 20-F. Guohan Li, Qiyi Hu, and Ping Jiang satisfy the “independence” requirements of Section 5605(a)(2) of the Nasdaq Listing Rules as well as the independence requirements of Rule 10A-3 under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is applicable to all of our directors, officers, and employees. Our code of business conduct and ethics is publicly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and billed by WWC, P.C., our independent registered public accounting firm for the periods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WWC, P.C.</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has established its pre-approval policies and procedures, pursuant to which the audit committee approved the foregoing audit services provided by WWC, P.C. in fiscal years 2024 and 2025. Consistent with our audit committee’s responsibility for engaging our independent auditors, all audit and permitted non-audit services require pre-approval by the audit committee. The full audit committee approves proposed services and fee estimates for these services. One or more independent directors serving on the audit committee may be delegated by the full audit committee to pre-approve any audit and non-audit services. Any such delegation shall be presented to the full audit committee at its next scheduled meeting. Pursuant to these procedures, the audit committee approved the foregoing audit services provided by WWC, P.C.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home country rule exemption set forth under Nasdaq Listing Rule 5615, the board of directors of the Company has elected to follow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home country rules for exemption from the requirements as follows:</w:t>
      </w:r>
    </w:p>
    <w:p>
      <w:pPr>
        <w:spacing w:after="0" w:line="207"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 which requires a listed company to obtain shareholder approval for certain dilutive events, including: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in connection with the acquisition of the stock or assets of another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that will result in a change of control of the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when a stock option or purchase plan or other equity compensation arrangement is established or materially amended;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other than a public offering involving issuances of a 20% or greater interest in the Company;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5640, which requires that the voting rights of existing shareholders of publicly traded common stock registered under Section 12 of the Securities Exchange Act of 1934 may not be disparately reduced or restricted through any corporate action or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above, there are no significant differences between the Company’s corporate governance practices and those followed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companies under Nasdaq Capital Market corporate governance listing standards.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governing the purchase, sale, and other dispositions of our securities by directors, senior management, and employees. A copy of the insider trading policies is filed as an exhibit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established cybersecurity risk management to identify, assess, and mitigate cybersecurity risks alongside other business risks. The process is in alignment with our strategic objectives and risk appetite. We may engage assessors, consultants, auditors, or other third parties to enhance our cyber security risk management processes. Any cybersecurity incidents are closely monitored for their potential impact on our business strategy, operations, and financial condition. As of the date of this annual report, we have not experienced any cybersecurity incidents that have materially affected or are reasonably likely to materially affect us, including our business strategy, results of operations, or financial condition. We continuously adapt our business strategy to enhance resilience, strengthen defenses and ensure the sustainability of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Zhengye Biotechnology Holding Limited and its subsidiaries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5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520" w:type="dxa"/>
            <w:vAlign w:val="bottom"/>
            <w:gridSpan w:val="8"/>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Memorandum and Articles of Association</w:t>
            </w:r>
          </w:p>
        </w:tc>
        <w:tc>
          <w:tcPr>
            <w:tcW w:w="478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Specimen Certificate for Class A Ordinary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30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Employment Agreement by and between executive officers and the Registrant (incorporated by reference to Exhibit 10.1 of our</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Registration Statement on Form F-1 (file No. 333-276436), as amended, initially filed with the Securities and Exchange Commission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January 9, 2024)</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Indemnification Agreement with the Registrant’s directors and officers (incorporated by reference to Exhibit 10.2 of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Registration Statement on Form F-1 (file No. 333-276436), as amended, initially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January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Director Offer Letter between the Registrant and its directors (incorporated by reference to Exhibit 10.3 of our Registration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Statement on Form F-1 (file No. 333-276436), as amended, initially filed with the Securities and Exchange Commission on January 9,</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2024)</w:t>
              </w:r>
            </w:hyperlink>
          </w:p>
        </w:tc>
        <w:tc>
          <w:tcPr>
            <w:tcW w:w="6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English Translation of the Form of Sales Agreement (incorporated by reference to Exhibit 10.4 of our Registration Statement on Form F-1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(file No. 333-276436), as amended, initially filed with the Securities and Exchange Commission on January 9, 2024)</w:t>
              </w:r>
            </w:hyperlink>
          </w:p>
        </w:tc>
        <w:tc>
          <w:tcPr>
            <w:tcW w:w="1680" w:type="dxa"/>
            <w:vAlign w:val="bottom"/>
            <w:tcBorders>
              <w:bottom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English Translation of the Form of Supplying Agreement (incorporated by reference to Exhibit 10.5 of our Registration Statement on Form</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F-1 (file No. 333-276436), as amended, initially filed with the Securities and Exchange Commission on January 9,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English Translation of the Form of Distribution Agreement (incorporated by reference to Exhibit 10.6 of our Registration Statement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F-1 (file No. 333-276436), as amended, initially filed with the Securities and Exchange Commission on January 9, 2024)</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English Translation of the Form of Technology Transfer Agreement (incorporated by reference to Exhibit 10.7 of our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Statement on Form F-1 (file No. 333-276436), as amended, initially filed with the Securities and Exchange Commission on January 9,</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2024)</w:t>
              </w:r>
            </w:hyperlink>
          </w:p>
        </w:tc>
        <w:tc>
          <w:tcPr>
            <w:tcW w:w="6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English Translation of the Form of Cooperative Research and Development Agreement (incorporated by reference to Exhibit 10.8 of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Registration Statement on Form F-1 (file No. 333-276436), as amended, initially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January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Technology Development Contract by and between Jilin Zhengye and Shanghai Veterinary Research Institute on April 22, 2015</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(incorporated by reference to Exhibit 10.9 of our Registration Statement on Form F-1 (file No. 333-276436), as amended, initially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with the Securities and Exchange Commission on January 9, 2024)</w:t>
              </w:r>
            </w:hyperlink>
          </w:p>
        </w:tc>
        <w:tc>
          <w:tcPr>
            <w:tcW w:w="0" w:type="dxa"/>
            <w:vAlign w:val="bottom"/>
          </w:tcPr>
          <w:p>
            <w:pPr>
              <w:spacing w:after="0"/>
              <w:rPr>
                <w:sz w:val="1"/>
                <w:szCs w:val="1"/>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top w:val="single" w:sz="8" w:color="0000EE"/>
              <w:bottom w:val="single" w:sz="8" w:color="auto"/>
            </w:tcBorders>
            <w:gridSpan w:val="5"/>
          </w:tcPr>
          <w:p>
            <w:pPr>
              <w:ind w:left="4340"/>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10100" w:type="dxa"/>
            <w:vAlign w:val="bottom"/>
            <w:gridSpan w:val="15"/>
            <w:shd w:val="clear" w:color="auto" w:fill="CCEEFF"/>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Memorandum by and between Jilin Zhengye and Shanghai Veterinary Research Institute on April 3, 2018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Exhibit 10.10 of our Registration Statement on Form F-1 (file No. 333-276436), as amended, initially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Exchange Commission on January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Technology Licensing Agreement by and between Jilin Zhengye and Harbin Veterinary Research Institute on April 5, 2012 (incorporated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by reference to Exhibit 10.11 of our Registration Statement on Form F-1 (file No. 333-276436), as amended, initially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Securities and Exchange Commission on January 9, 2024)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Technology Licensing Agreement by and between Jilin Zhengye and China Agricultural University on July 16, 2018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reference to Exhibit 10.12 of our Registration Statement on Form F-1 (file No. 333-276436), as amended, initially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and Exchange Commission on January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Company Formation Agreement by and between Jilin Zhengye and Youjia Technology Consulting Service (Tianjin) Co., Ltd. on March 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2025 ((incorporated by reference to Exhibit 10.1 of our Current Report on Form 6-K filed with the Securities and Exchange Commission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April 2, 2025)</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Code of Business Conduct and Ethics of the Registrant (incorporated by reference to Exhibit 99.1 of our Registration Statement on Form F-</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1 (file No. 333-276436), as amended, initially filed with the Securities and Exchange Commission on January 9,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71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c>
          <w:tcPr>
            <w:tcW w:w="2920" w:type="dxa"/>
            <w:vAlign w:val="bottom"/>
            <w:tcBorders>
              <w:top w:val="single" w:sz="8" w:color="CCEE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1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Guantao Law Firm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22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WWC, P.C.</w:t>
            </w:r>
          </w:p>
        </w:tc>
        <w:tc>
          <w:tcPr>
            <w:tcW w:w="7900" w:type="dxa"/>
            <w:vAlign w:val="bottom"/>
            <w:tcBorders>
              <w:top w:val="single" w:sz="8" w:color="CCEE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Compensation Recovery Policy (incorporated by reference to Exhibit 99.10 of our Registration Statement on Form F-1/A (file No. 333-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3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276436)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Securities and Exchange Commission on May 15, 2024)</w:t>
              </w:r>
            </w:hyperlink>
          </w:p>
        </w:tc>
        <w:tc>
          <w:tcPr>
            <w:tcW w:w="280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Insider Trading Policy (incorporated by reference to Exhibit 97.2 of our Annual Report on Form 20-F (file No. 001-42450)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Securities and Exchange Commission on July 3,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financial statements from the Company’s Annual Report on Form 20-F for the fiscal year ended December 31, 2025,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formatted in Inline XBRL: (i) Consolidated Balance Sheets, (ii) Consolidated Statements of Income (Loss) And Comprehensive Loss,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Equity, (iv) Consolidated Statements of Cash Flows, and (v) Notes to Consolidated Financial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Zhengye Biotechnology Holding Limited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Songlin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Songlin Song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00" w:type="dxa"/>
            <w:vAlign w:val="bottom"/>
            <w:gridSpan w:val="7"/>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ZHENGYE BIOTECHNOLOGY HOLDING LIMITED</w:t>
            </w:r>
          </w:p>
        </w:tc>
        <w:tc>
          <w:tcPr>
            <w:tcW w:w="11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0" w:type="dxa"/>
            <w:vAlign w:val="bottom"/>
            <w:gridSpan w:val="7"/>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1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6"/>
        </w:trPr>
        <w:tc>
          <w:tcPr>
            <w:tcW w:w="72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1171)</w:t>
            </w:r>
          </w:p>
        </w:tc>
        <w:tc>
          <w:tcPr>
            <w:tcW w:w="286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 FOR THE YEARS ENDED</w:t>
            </w:r>
          </w:p>
        </w:tc>
        <w:tc>
          <w:tcPr>
            <w:tcW w:w="112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960" w:type="dxa"/>
            <w:vAlign w:val="bottom"/>
            <w:tcBorders>
              <w:top w:val="single" w:sz="8" w:color="0000EE"/>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DECEMBER 31, 2023, 2024 AND 2025</w:t>
            </w:r>
          </w:p>
        </w:tc>
        <w:tc>
          <w:tcPr>
            <w:tcW w:w="62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w:t>
            </w:r>
          </w:p>
        </w:tc>
        <w:tc>
          <w:tcPr>
            <w:tcW w:w="112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86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2024 AND 2025</w:t>
            </w:r>
          </w:p>
        </w:tc>
        <w:tc>
          <w:tcPr>
            <w:tcW w:w="1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6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90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5"/>
        </w:trPr>
        <w:tc>
          <w:tcPr>
            <w:tcW w:w="16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5240" w:type="dxa"/>
            <w:vAlign w:val="bottom"/>
            <w:tcBorders>
              <w:bottom w:val="single" w:sz="8" w:color="auto"/>
            </w:tcBorders>
            <w:gridSpan w:val="6"/>
          </w:tcPr>
          <w:p>
            <w:pPr>
              <w:jc w:val="center"/>
              <w:ind w:right="376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1245235</wp:posOffset>
            </wp:positionH>
            <wp:positionV relativeFrom="page">
              <wp:posOffset>568960</wp:posOffset>
            </wp:positionV>
            <wp:extent cx="5057775" cy="763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0577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Zhengye Biotechnology Holding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Zhengye Biotechnology Holding Limited and its subsidiaries (collectively the “Company”) as of December 31, 2024 and 2025 and the related consolidated statements of operations and comprehensive income (loss), changes in shareholders’ equity, and cash flows for each of the years in the three-year period ended December 31, 2025, and the related notes (collectively referred to as the “financial statements”). In our opinion, the financial statements present fairly, in all material respects, the financial position of the Company as of December 31, 2024 and 2025, and the results of its operations and its cash flows for each of the years in the three-year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2975" cy="2489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9429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1171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154305</wp:posOffset>
            </wp:positionV>
            <wp:extent cx="4431665" cy="266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44316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18,604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50,332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net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25,592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59,563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58,220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25,667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receivable-a related party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177,566</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137,420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19,650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255,164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7,673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47,084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IPO expenses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315,681</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299,052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42,762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493,247</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436,472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74,443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loans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liability-current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42,960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44,010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2,066</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3,463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8,850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liability-non-current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140,707</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129,757</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(US$0.000025 par value; 1,900,000,000 shares authorized; 5,666,376 and</w:t>
            </w: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7,391,376 shares issued and outstanding as of December 31, 2024 and 2025, respectively)*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(US$0.000025 par value; 100,000,000 shares authorized; 40,000,000 and</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40,000,000shares issued and outstanding as of December 31, 2024 and 2025, respectively)*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203,150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32,647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48,151</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(21,633)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(1,926)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Zhengye Biotechnology Holding Limited’s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283,959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68,581</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56,867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352,540</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306,715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493,247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436,472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62,412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80" w:right="2480" w:hanging="2472"/>
        <w:spacing w:after="0" w:line="488" w:lineRule="auto"/>
        <w:tabs>
          <w:tab w:leader="none" w:pos="33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share reclassification was retroactively restated with effective date of March 24, 2026. The accompanying notes are an integral part of these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2" w:gutter="0" w:footer="0" w:header="0"/>
        </w:sectPr>
      </w:pPr>
    </w:p>
    <w:bookmarkStart w:id="135" w:name="page136"/>
    <w:bookmarkEnd w:id="13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CONSOLIDATED STATEMENTS OF OPERATIONS AND COMPREHENSIVE INCOME (LOSS) (Amounts in thousands of RMB and US$, except for number of shares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0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211,651</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186,356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116,362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16,639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(94,143)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(95,061)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(92,493)</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(13,227)</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(41,269)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(22,575)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(31,006)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(12,794)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(provision for) credit losses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3,714</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1,782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16,439</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(70,506)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(10,084)</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312</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2,653</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expenses,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(11,095)</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(2,159)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13,184</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1,885</w:t>
            </w:r>
          </w:p>
        </w:tc>
      </w:tr>
      <w:tr>
        <w:trPr>
          <w:trHeight w:val="180"/>
        </w:trPr>
        <w:tc>
          <w:tcPr>
            <w:tcW w:w="5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income (loss) attributable to the Zhengye Biotechnology Holding</w:t>
            </w: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8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Limited’s shareholders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31,457</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11,311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(69,784)</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37,509</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13,470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(82,968)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(2,159)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13,184</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1,885</w:t>
            </w:r>
          </w:p>
        </w:tc>
      </w:tr>
      <w:tr>
        <w:trPr>
          <w:trHeight w:val="180"/>
        </w:trPr>
        <w:tc>
          <w:tcPr>
            <w:tcW w:w="5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comprehensive income (loss) attributable to the Zhengye</w:t>
            </w: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8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Biotechnology Holding Limited’s shareholders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31,457</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11,314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(71,713)</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 Class A Ordinary shares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0.69</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0.25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 Class B Ordinary shares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0.69</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 diluted</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 basic and diluted</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45,666,376</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45,666,376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47,349,869</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47,349,869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 Class A Ordinary shares*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5,666,376</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5,666,376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7,349,869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7,349,869</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 Class B Ordinary shares*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40,000,000</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40,000,000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40,000,000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40,000,000</w:t>
            </w:r>
          </w:p>
        </w:tc>
      </w:tr>
    </w:tbl>
    <w:p>
      <w:pPr>
        <w:spacing w:after="0" w:line="179" w:lineRule="exact"/>
        <w:rPr>
          <w:sz w:val="20"/>
          <w:szCs w:val="20"/>
          <w:color w:val="auto"/>
        </w:rPr>
      </w:pPr>
    </w:p>
    <w:p>
      <w:pPr>
        <w:ind w:left="2480" w:right="2480" w:hanging="2472"/>
        <w:spacing w:after="0" w:line="578" w:lineRule="auto"/>
        <w:tabs>
          <w:tab w:leader="none" w:pos="33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share reclassification was retroactively restated with effective date of March 24, 2026. The accompanying notes are an integral part of these consolidated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CONSOLIDATED STATEMENTS OF CHANGES IN SHAREHOLDERS’ EQUITY (Amounts in thousands of RMB and US$, except for number of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Zhengye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Biotechnology</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Class A Ordinary</w:t>
            </w: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Class B Ordinary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Limited’s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160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8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8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73"/>
        </w:trPr>
        <w:tc>
          <w:tcPr>
            <w:tcW w:w="17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2022 (RMB)</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5,666,376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203,150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27,565</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65,774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296,497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60,370</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356,867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31,457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37,509</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to statutory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3,746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(55,104)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(55,104)</w:t>
            </w:r>
          </w:p>
        </w:tc>
        <w:tc>
          <w:tcPr>
            <w:tcW w:w="0" w:type="dxa"/>
            <w:vAlign w:val="bottom"/>
          </w:tcPr>
          <w:p>
            <w:pPr>
              <w:spacing w:after="0"/>
              <w:rPr>
                <w:sz w:val="1"/>
                <w:szCs w:val="1"/>
                <w:color w:val="auto"/>
              </w:rPr>
            </w:pPr>
          </w:p>
        </w:tc>
      </w:tr>
      <w:tr>
        <w:trPr>
          <w:trHeight w:val="173"/>
        </w:trPr>
        <w:tc>
          <w:tcPr>
            <w:tcW w:w="17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2023 (RMB)</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5,666,376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203,150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31,311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38,381</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272,850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66,422</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339,272</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11,311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13,470</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to statutory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163"/>
        </w:trPr>
        <w:tc>
          <w:tcPr>
            <w:tcW w:w="17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2024 (RMB)</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5,666,376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203,150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32,647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48,151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283,959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68,581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352,540</w:t>
            </w:r>
          </w:p>
        </w:tc>
        <w:tc>
          <w:tcPr>
            <w:tcW w:w="0" w:type="dxa"/>
            <w:vAlign w:val="bottom"/>
          </w:tcPr>
          <w:p>
            <w:pPr>
              <w:spacing w:after="0"/>
              <w:rPr>
                <w:sz w:val="1"/>
                <w:szCs w:val="1"/>
                <w:color w:val="auto"/>
              </w:rPr>
            </w:pPr>
          </w:p>
        </w:tc>
      </w:tr>
      <w:tr>
        <w:trPr>
          <w:trHeight w:val="19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in</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initial public offering</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1,725,000</w:t>
            </w: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37,602</w:t>
            </w:r>
          </w:p>
        </w:tc>
        <w:tc>
          <w:tcPr>
            <w:tcW w:w="800" w:type="dxa"/>
            <w:vAlign w:val="bottom"/>
            <w:gridSpan w:val="2"/>
            <w:vMerge w:val="continue"/>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37,602</w:t>
            </w:r>
          </w:p>
        </w:tc>
        <w:tc>
          <w:tcPr>
            <w:tcW w:w="860" w:type="dxa"/>
            <w:vAlign w:val="bottom"/>
            <w:gridSpan w:val="2"/>
            <w:vMerge w:val="continue"/>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37,602</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interest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w:t>
            </w:r>
          </w:p>
        </w:tc>
        <w:tc>
          <w:tcPr>
            <w:tcW w:w="8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(69,784)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(13,184)</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(82,968)</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(1,929)</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30"/>
        </w:trPr>
        <w:tc>
          <w:tcPr>
            <w:tcW w:w="1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w:t>
            </w: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2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(21,633)</w:t>
            </w:r>
          </w:p>
        </w:tc>
        <w:tc>
          <w:tcPr>
            <w:tcW w:w="1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(1,926)</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 (RMB)</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7,391,376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240,752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32,647</w:t>
            </w:r>
          </w:p>
        </w:tc>
        <w:tc>
          <w:tcPr>
            <w:tcW w:w="760" w:type="dxa"/>
            <w:vAlign w:val="bottom"/>
            <w:tcBorders>
              <w:right w:val="single" w:sz="8" w:color="CCEEFF"/>
            </w:tcBorders>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249,848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56,867</w:t>
            </w: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306,715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2025 (US$)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7,391,376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34,427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4,668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35,722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43,854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80" w:right="2480" w:hanging="2472"/>
        <w:spacing w:after="0" w:line="578" w:lineRule="auto"/>
        <w:tabs>
          <w:tab w:leader="none" w:pos="33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share reclassification was retroactively restated with effective date of March 24, 2026. The accompanying notes are an integral part of these consolidated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ind w:left="3460"/>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37,509</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13,470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23,912</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24,163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for inventory</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10,026</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5,962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541</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(679)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8,310</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(3,752)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31,044</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16,345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39,709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(7,677)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(1,283)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receivable-a related party</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liabilities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(35,613)</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(229)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2,698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 non-current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48,184</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41,046</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party</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lending to related party</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(13,587)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purchase of intangible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(14,186)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79,860</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90,122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70,468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(92,860)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related parties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to shareholders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(16,023)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IPO 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contribution</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(18,979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32,310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17,440</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(8,580)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9,746</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27,186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18,606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4,423</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Liabilities assumed in connection with purchase of property, plant and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2,345</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8,633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 assumed in connection with purchase of intangible asset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Right of use assets obtained in exchange for operating lease obligation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38" w:name="page139"/>
    <w:bookmarkEnd w:id="138"/>
    <w:p>
      <w:pPr>
        <w:spacing w:after="0"/>
        <w:tabs>
          <w:tab w:leader="none" w:pos="7020" w:val="left"/>
          <w:tab w:leader="none" w:pos="8400" w:val="left"/>
          <w:tab w:leader="none" w:pos="9380" w:val="left"/>
          <w:tab w:leader="none" w:pos="10700" w:val="left"/>
        </w:tabs>
        <w:rPr>
          <w:sz w:val="20"/>
          <w:szCs w:val="20"/>
          <w:color w:val="auto"/>
        </w:rPr>
      </w:pPr>
      <w:r>
        <w:rPr>
          <w:rFonts w:ascii="Times New Roman" w:cs="Times New Roman" w:eastAsia="Times New Roman" w:hAnsi="Times New Roman"/>
          <w:sz w:val="18"/>
          <w:szCs w:val="18"/>
          <w:color w:val="auto"/>
        </w:rPr>
        <w:t>Reclassification of IPO expenses into additional paid-in capital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8,663</w:t>
      </w:r>
      <w:r>
        <w:rPr>
          <w:sz w:val="20"/>
          <w:szCs w:val="20"/>
          <w:color w:val="auto"/>
        </w:rPr>
        <w:tab/>
      </w:r>
      <w:r>
        <w:rPr>
          <w:rFonts w:ascii="Times New Roman" w:cs="Times New Roman" w:eastAsia="Times New Roman" w:hAnsi="Times New Roman"/>
          <w:sz w:val="18"/>
          <w:szCs w:val="18"/>
          <w:color w:val="auto"/>
        </w:rPr>
        <w:t>1,239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274695"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274695" cy="4318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39" w:name="page140"/>
    <w:bookmarkEnd w:id="13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jc w:val="both"/>
        <w:ind w:right="9620" w:firstLine="8"/>
        <w:spacing w:after="0" w:line="532" w:lineRule="auto"/>
        <w:tabs>
          <w:tab w:leader="none" w:pos="1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Nature of operations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Zhengye Biotechnology Holding Limited (the “Company”) was incorporated in the Cayman Islands in March 2023 under the Cayman Islands Companies Act as an exempted company with limited liability. The Company through its consolidated subsidiaries principally focuses on the research, development, manufacture and sales of veterinary vaccines, with an emphasis on vaccines for livestock in the People’s Republic of China (the “PRC” or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preparation for its initial public offering (“IPO”) in the United States, the following transactions were undertaken to reorganize the legal structure of Operating Entities. The Company was incorporated in connection with a reorganization of Jilin Zhengye Biological Products Co., Ltd. (“Jilin Zhengye”). On April 3, 2023, the Company incorporated a wholly-owned subsidiary, VVAX Skyline Holdings Limited (“VVAX Skyline”), in the British Virgin Islands. On April 18, 2023, Peg Biotechnology (HK) Holding Limited (“Peg Biotechnology”) was incorporated in Hong Kong as a company with limited liability and as a wholly owned subsidiary of VVAX Skyline. On May 22, 2023, Peg Biotechnology incorporated a wholly-owned subsidiary, Hainan Senhan Biotechnology Co., Ltd. (“Hainan Senhan”) in the PRC. On May 30, 2023, VVAX Skyline acquired 100% of the equity interests in Windsor Holdings Co., Ltd. (“Windsor Holdings”) from its original shareholders. Windsor Holdings was incorporated in the British Virgin Islands.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reorganization described below, Jilin Zhengye was controlled by several individual, corporate and institutional shareholders. A reorganization of the Company’s legal structure (“Reorganization”) was completed on June 21, 2023. The Reorganization involved the transfer of 58.689% and 25.1524% interests of Jilin Zhengye from its former shareholders to Hainan Senhan and Windsor Holdings, respectively. As the result of the Reorganization, Jilin Zhengye became a subsidiary of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completion of the Reorganization, the Company became the ultimate holding company of all other entities mentioned above. The Company is effectively controlled by the same group of controlling shareholders before and after the Reorganization; therefore, the Reorganization is considered as a recapitalization of these entities under common control. The consolidation of the Company and its subsidiaries was accounted for at historical cost and prepared on the basis as if the aforementioned transactions had become effective as of the beginning of the first period presented in the accompanying consolidated financial statements. Results of operations for the period presented comprise those of the previous separate entries combined from the beginning of the period to the end of the period, eliminating the effects of intra-entity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details of the Company’s principal subsidiaries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02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2240" w:type="dxa"/>
            <w:vAlign w:val="bottom"/>
            <w:shd w:val="clear" w:color="auto" w:fill="CCEEFF"/>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direct or indirect</w:t>
            </w:r>
          </w:p>
        </w:tc>
        <w:tc>
          <w:tcPr>
            <w:tcW w:w="2240" w:type="dxa"/>
            <w:vAlign w:val="bottom"/>
            <w:shd w:val="clear" w:color="auto" w:fill="CCEEFF"/>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1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ownership by the</w:t>
            </w:r>
          </w:p>
        </w:tc>
        <w:tc>
          <w:tcPr>
            <w:tcW w:w="2240" w:type="dxa"/>
            <w:vAlign w:val="bottom"/>
            <w:shd w:val="clear" w:color="auto" w:fill="CCEEFF"/>
          </w:tcPr>
          <w:p>
            <w:pPr>
              <w:spacing w:after="0"/>
              <w:rPr>
                <w:sz w:val="18"/>
                <w:szCs w:val="18"/>
                <w:color w:val="auto"/>
              </w:rPr>
            </w:pPr>
          </w:p>
        </w:tc>
      </w:tr>
      <w:tr>
        <w:trPr>
          <w:trHeight w:val="258"/>
        </w:trPr>
        <w:tc>
          <w:tcPr>
            <w:tcW w:w="94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activities</w:t>
            </w:r>
          </w:p>
        </w:tc>
      </w:tr>
      <w:tr>
        <w:trPr>
          <w:trHeight w:val="163"/>
        </w:trPr>
        <w:tc>
          <w:tcPr>
            <w:tcW w:w="4160" w:type="dxa"/>
            <w:vAlign w:val="bottom"/>
            <w:tcBorders>
              <w:top w:val="single" w:sz="8" w:color="auto"/>
            </w:tcBorders>
            <w:gridSpan w:val="2"/>
          </w:tcPr>
          <w:p>
            <w:pPr>
              <w:spacing w:after="0" w:line="163" w:lineRule="exact"/>
              <w:rPr>
                <w:sz w:val="20"/>
                <w:szCs w:val="20"/>
                <w:color w:val="auto"/>
              </w:rPr>
            </w:pPr>
            <w:r>
              <w:rPr>
                <w:rFonts w:ascii="Times New Roman" w:cs="Times New Roman" w:eastAsia="Times New Roman" w:hAnsi="Times New Roman"/>
                <w:sz w:val="18"/>
                <w:szCs w:val="18"/>
                <w:color w:val="auto"/>
              </w:rPr>
              <w:t>Subsidiaries:</w:t>
            </w:r>
          </w:p>
        </w:tc>
        <w:tc>
          <w:tcPr>
            <w:tcW w:w="120" w:type="dxa"/>
            <w:vAlign w:val="bottom"/>
            <w:tcBorders>
              <w:top w:val="single" w:sz="8" w:color="CCEEFF"/>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8"/>
        </w:trPr>
        <w:tc>
          <w:tcPr>
            <w:tcW w:w="4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VVAX Skyline Holdings Limited (“VVAX Skyline”)</w:t>
            </w:r>
          </w:p>
        </w:tc>
        <w:tc>
          <w:tcPr>
            <w:tcW w:w="122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April 3, 2023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7"/>
              </w:rPr>
              <w:t>British Virgin</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100% owned by the</w:t>
            </w: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r>
      <w:tr>
        <w:trPr>
          <w:trHeight w:val="234"/>
        </w:trPr>
        <w:tc>
          <w:tcPr>
            <w:tcW w:w="94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Islands</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Company</w:t>
            </w:r>
          </w:p>
        </w:tc>
        <w:tc>
          <w:tcPr>
            <w:tcW w:w="2240" w:type="dxa"/>
            <w:vAlign w:val="bottom"/>
            <w:shd w:val="clear" w:color="auto" w:fill="CCEEFF"/>
          </w:tcPr>
          <w:p>
            <w:pPr>
              <w:spacing w:after="0"/>
              <w:rPr>
                <w:sz w:val="20"/>
                <w:szCs w:val="20"/>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Windsor Holdings Co., Ltd. (“Windsor Holdings”)</w:t>
            </w:r>
          </w:p>
        </w:tc>
        <w:tc>
          <w:tcPr>
            <w:tcW w:w="122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May 30, 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7"/>
              </w:rPr>
              <w:t>British Virgin</w:t>
            </w:r>
          </w:p>
        </w:tc>
        <w:tc>
          <w:tcPr>
            <w:tcW w:w="17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100% owned by</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r>
      <w:tr>
        <w:trPr>
          <w:trHeight w:val="234"/>
        </w:trPr>
        <w:tc>
          <w:tcPr>
            <w:tcW w:w="9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Islands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VVAX Skyline</w:t>
            </w:r>
          </w:p>
        </w:tc>
        <w:tc>
          <w:tcPr>
            <w:tcW w:w="2240" w:type="dxa"/>
            <w:vAlign w:val="bottom"/>
          </w:tcPr>
          <w:p>
            <w:pPr>
              <w:spacing w:after="0"/>
              <w:rPr>
                <w:sz w:val="20"/>
                <w:szCs w:val="20"/>
                <w:color w:val="auto"/>
              </w:rPr>
            </w:pPr>
          </w:p>
        </w:tc>
      </w:tr>
      <w:tr>
        <w:trPr>
          <w:trHeight w:val="198"/>
        </w:trPr>
        <w:tc>
          <w:tcPr>
            <w:tcW w:w="4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Peg Biotechnology (HK) Holding Limited (“Peg</w:t>
            </w:r>
          </w:p>
        </w:tc>
        <w:tc>
          <w:tcPr>
            <w:tcW w:w="122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April 18, 2023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100% owned by</w:t>
            </w: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r>
      <w:tr>
        <w:trPr>
          <w:trHeight w:val="234"/>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Biotechnology”)</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VVAX Skyline</w:t>
            </w:r>
          </w:p>
        </w:tc>
        <w:tc>
          <w:tcPr>
            <w:tcW w:w="2240" w:type="dxa"/>
            <w:vAlign w:val="bottom"/>
            <w:shd w:val="clear" w:color="auto" w:fill="CCEEFF"/>
          </w:tcPr>
          <w:p>
            <w:pPr>
              <w:spacing w:after="0"/>
              <w:rPr>
                <w:sz w:val="20"/>
                <w:szCs w:val="20"/>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Hainan Senhan Biotechnology Co., Ltd. (“Hainan</w:t>
            </w:r>
          </w:p>
        </w:tc>
        <w:tc>
          <w:tcPr>
            <w:tcW w:w="122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May 22, 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100% owned by Peg</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r>
      <w:tr>
        <w:trPr>
          <w:trHeight w:val="234"/>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Senhan”)</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Biotechnology</w:t>
            </w:r>
          </w:p>
        </w:tc>
        <w:tc>
          <w:tcPr>
            <w:tcW w:w="2240" w:type="dxa"/>
            <w:vAlign w:val="bottom"/>
          </w:tcPr>
          <w:p>
            <w:pPr>
              <w:spacing w:after="0"/>
              <w:rPr>
                <w:sz w:val="20"/>
                <w:szCs w:val="20"/>
                <w:color w:val="auto"/>
              </w:rPr>
            </w:pPr>
          </w:p>
        </w:tc>
      </w:tr>
      <w:tr>
        <w:trPr>
          <w:trHeight w:val="198"/>
        </w:trPr>
        <w:tc>
          <w:tcPr>
            <w:tcW w:w="4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Jilin Zhengye Biological Products Co., Ltd.</w:t>
            </w:r>
          </w:p>
        </w:tc>
        <w:tc>
          <w:tcPr>
            <w:tcW w:w="122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May 18, 2004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58.689% owned by</w:t>
            </w: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Research, development,</w:t>
            </w: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(“Jilin Zhengye”)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Hainan Senhan and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manufacture and sales of</w:t>
            </w:r>
          </w:p>
        </w:tc>
      </w:tr>
      <w:tr>
        <w:trPr>
          <w:trHeight w:val="216"/>
        </w:trPr>
        <w:tc>
          <w:tcPr>
            <w:tcW w:w="9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25.1524% owned by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veterinary vaccines</w:t>
            </w:r>
          </w:p>
        </w:tc>
      </w:tr>
      <w:tr>
        <w:trPr>
          <w:trHeight w:val="234"/>
        </w:trPr>
        <w:tc>
          <w:tcPr>
            <w:tcW w:w="94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Windsor Holdings</w:t>
            </w:r>
          </w:p>
        </w:tc>
        <w:tc>
          <w:tcPr>
            <w:tcW w:w="2240" w:type="dxa"/>
            <w:vAlign w:val="bottom"/>
            <w:shd w:val="clear" w:color="auto" w:fill="CCEEFF"/>
          </w:tcPr>
          <w:p>
            <w:pPr>
              <w:spacing w:after="0"/>
              <w:rPr>
                <w:sz w:val="20"/>
                <w:szCs w:val="20"/>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Beijing Zhongnong Zhengye Biotechnology Co., Ltd.</w:t>
            </w:r>
          </w:p>
        </w:tc>
        <w:tc>
          <w:tcPr>
            <w:tcW w:w="122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April 16, 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7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51.00% owned by Jilin</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Sales of veterinary vaccines</w:t>
            </w:r>
          </w:p>
        </w:tc>
      </w:tr>
      <w:tr>
        <w:trPr>
          <w:trHeight w:val="234"/>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(“Beijing Zhengye”)</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Zhengye</w:t>
            </w:r>
          </w:p>
        </w:tc>
        <w:tc>
          <w:tcPr>
            <w:tcW w:w="2240" w:type="dxa"/>
            <w:vAlign w:val="bottom"/>
          </w:tcPr>
          <w:p>
            <w:pPr>
              <w:spacing w:after="0"/>
              <w:rPr>
                <w:sz w:val="20"/>
                <w:szCs w:val="20"/>
                <w:color w:val="auto"/>
              </w:rPr>
            </w:pPr>
          </w:p>
        </w:tc>
      </w:tr>
      <w:tr>
        <w:trPr>
          <w:trHeight w:val="655"/>
        </w:trPr>
        <w:tc>
          <w:tcPr>
            <w:tcW w:w="9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F-7</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17" w:lineRule="exact"/>
        <w:rPr>
          <w:sz w:val="20"/>
          <w:szCs w:val="20"/>
          <w:color w:val="auto"/>
        </w:rPr>
      </w:pPr>
    </w:p>
    <w:p>
      <w:pPr>
        <w:ind w:right="6360" w:firstLine="8"/>
        <w:spacing w:after="0" w:line="440" w:lineRule="auto"/>
        <w:tabs>
          <w:tab w:leader="none" w:pos="1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Liquidity</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net loss of RMB82,968 (US$11,867) for the year ended December 31, 2025. Net cash provided by operating activities was RMB13,333 (US$1,911) for the year ended December 31, 2025. As of December 31, 2025, the Company had cash and restricted cash of RMB50,334 (US$7,197) and working capital of RMB16,944 (US$2,420).</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historically funded its working capital needs primarily from operations, bank loans, advance payments from customers and contributions by shareholders. Management may decide to enhance their liquidity position or increase their cash reserve for future operations and ongoing finance of short-term bank loans. Management believes that the amount of available cash balance as of December 31, 2025 and forecasted net cash flows for a period of one year after the issuance of the consolidated financial statements will be sufficient for the Company to satisfy its obligations and commitments when they become due. The accompanying consolidated financial statements have been prepared on the basis the Company will be able to continue as a going concern for a period of one year after the issuance of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for information pursuant to the rules and regulations of the U.S. Securities and Exchange Commission.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intercompany transactions and balances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Company’s consolidated financial statements mainly include, but are not limited to, allowance for credit losses, depreciable lives of property, plant and equipment and amortization lives of intangible asset, inventory valuation for excess and obsolete inventories, lower of cost and net realizable value of inventories, the valuation of derivative instruments, and the valuation allowance for deferred tax assets.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in the consolidated financial statements that are believed to be reasonable, the results of which form the basis for making judgments about the carrying values of assets and liabilities. On an ongoing basis, management evaluates its estimates based on information that is currently available. Changes in circumstances, facts and experience may cause the Company to revise its estimates. Changes in estimates are recorded in the period in which they become known. Actual results could materially differ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reporting currency is the Renminbi (“RMB”). The functional currency of the Company and its subsidiaries which are incorporated in British Virgin Islands (“BVI”) and Hong Kong (“HK”) are United States dollars (“US$”). The functional currencies of the other subsidiaries are their respective local currencies. The determination of the respective functional currency is based on the criteria set out by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(“ASC 830”).</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operations and comprehensive income (loss).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statements of the Company’s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 in the consolidated statements of comprehensive income, and the accumulated foreign currency translation adjustments are presented as a component of accumulated other comprehensive income in the consolidated statements of shareholders’ equity if 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consolidated statements of comprehensive income and consolidated statements of cash flows from RMB into US$ as of and for the year ended December 31, 2025 are solely for the convenience of the reader and were calculated at the rate of US$1.00 to RMB6.9931, the exchange rate set forth in the H.10 statistical release of the Federal Reserve Board on December 31, 2025. No representation is made that the RMB amounts represent or could have been, or could be, converted, realized or settled into US$ at that rate on December 31, 2025, or at any other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consists of cash on hand and cash in bank, which are highly liquid and have original maturities of three months or less and are unrestricted as to withdrawal or use. The Company maintains cash with various financial institutions primarily in mainland China. The Company has not experienced any losses in bank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comprises a certificate of deposit (CD) subject to contractual penalties for early withdrawal prior to maturity.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highly liquid investments with maturities of greater than three months, but less than twelve months, are classified as short-term investments. Short-term investments primarily consist of (i) investment in marketable securities and (ii) derivative assets arisen from non-designated foreign exchange swap contracts and interest rate swap contracts. The Company classifies the investment in marketable securities as trading securities given the securities are purchased for the purpose of selling them in the near term. Changes in fair values of marketable securities and changes in fair values of derivate assets arisen from non-designated foreign exchange swap contracts and interest rate swap contracts are included in unrealized gains on short-term investments in the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generally due within twelve months and with specific payment terms and definitive due dates, are comprised of the bank acceptance notes issued by some customers to pay certain outstanding receivable balances to the Company. Bank acceptance notes do not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the historical carrying amount net of allowance for expected credit losses.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policy for estimating credit losses also applies to notes receivable and other receivables. To estimate expected credit losses, the Company has identified the relevant risk characteristics of its customers and the related receivables. The Company considers the past collection experience, current economic conditions, future economic conditions (external data and macroeconomic factors) and changes in the Company’s customer collection trends. The allowance for credit losses and corresponding receivables are written off when they are determined to be uncollectible.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Net realizable value is the estimated selling price in the normal course of business less any costs to complete and sell products. Cost of inventory are determined using the weighted average method. The Company records inventory reserves for obsolete and slow-moving inventory. Inventory reserves are based on inventory obsolescence trends, historical experience and application of the specific identification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and other assets,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Prepayments and other assets consisted of security deposit, prepaid advertising and promotion expenses, prepaid financial consulting expenses, technology transfer license fees, and others. Prepayments and other assets are reviewed periodically to determine whether its carrying value has become impaired.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direct costs incurred by the Company and its subsidiaries attributable to its IPO of ordinary shares in the U.S. have been deferred and recorded in deferred offering expenses and upon the closing of the IPO. Deferred offering expenses of RMB8,663 (US$1,239) were reclassified to shareholders’ equity as a reduction from the proceeds of the offering. There are no deferred offering costs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to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 to suppliers are mainly funds deposited for future raw material or finished goods purchases. Certain of the Company’s vendors require deposits as a guarantee that the Company will complete its purchases on a timely basis as well as securing the current agreed upon purchase price. Advance to suppliers is short-term in nature. Advance to suppliers is reviewed periodically to determine whether its carrying value has become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82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9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 30 years</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Mechanical equipment</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20 years</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432"/>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and impairment, if any. Intangible assets are amortized using the straight-line method over the estimated useful lives from 3 to 10 years. The estimated useful lives of amortized intangible assets are reassessed if circumstances occur that indicate the original estimated useful lives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282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9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10 years</w:t>
            </w:r>
          </w:p>
        </w:tc>
      </w:tr>
      <w:tr>
        <w:trPr>
          <w:trHeight w:val="414"/>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 use right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use rights represent the amounts paid and relevant costs incurred for the rights to use land in the PRC, which are carried at cost less accumulated amortization. Amortization of the land use right is provided on a straight-line basis over the terms of the respective land use rights certificates, the amortization period for the land use rights is 50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prepayments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prepayments represent the payments prepaid for purchase of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prepayments are reviewed periodically to determine whether its carrying value has become impaired.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other than 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Company had originally estimated. When these events occur, the Company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of the assets over the fair value of the assets. Impairment charge recognized for the years ended December 31, 2024 and 2025 was nil.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Company considers the principal or most advantageous market in which it would transact, and it also considers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of the Company primarily consist of cash, restricted cash, short-term investments, notes receivable, accounts receivable, other receivable - a related party, other receivables, accounts payable, short-term loans, amount due to related parties, accrued expenses, and other liabilities excluding payroll and welfare payables. As of December 31, 2024 and December 31, 2025, except for short-term investments, the carrying values of these financial assets and liabilities approximate their fair values due to the short-term nature. The Company reports short-term investments at fair value at each balance sheet date and changes in fair value are reflected in the consolidated statements of operations and comprehensive income (loss). The Company determined that the carrying value of the long-term loans approximated their fair value by comparing the stated loan interest rate to the rate charged by similar financial institutions.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or disclosed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fair value hierarchy of the Company’s financial assets measured at fair value on a recurring basis as of December 31,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5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 at the Reporting Date using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Investment in marketable equity security </w:t>
            </w:r>
            <w:r>
              <w:rPr>
                <w:rFonts w:ascii="Times New Roman" w:cs="Times New Roman" w:eastAsia="Times New Roman" w:hAnsi="Times New Roman"/>
                <w:sz w:val="18"/>
                <w:szCs w:val="18"/>
                <w:i w:val="1"/>
                <w:iCs w:val="1"/>
                <w:color w:val="auto"/>
              </w:rPr>
              <w:t>(i)</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swap contracts (ii)</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swap contracts (ii)</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5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 at the Reporting Date using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Investment in marketable equity security </w:t>
            </w:r>
            <w:r>
              <w:rPr>
                <w:rFonts w:ascii="Times New Roman" w:cs="Times New Roman" w:eastAsia="Times New Roman" w:hAnsi="Times New Roman"/>
                <w:sz w:val="18"/>
                <w:szCs w:val="18"/>
                <w:i w:val="1"/>
                <w:iCs w:val="1"/>
                <w:color w:val="auto"/>
              </w:rPr>
              <w:t>(i)</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swap contracts (ii)</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swap contracts (ii)</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Zhengye had investment in common shares of Jiangxi Zhengbang Technology Co., Ltd. (“Zhengbang”), which is a public company listed on Shanghai Stock Exchange. The investment in Zhengbang with readily determinable fair value is measured and recorded at fair value using the market approach based on the quoted prices in active markets at the reporting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340" w:hanging="332"/>
        <w:spacing w:after="0" w:line="254"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Zhengye entered into foreign currency swap contracts and cross-currency interest rate swap contracts on November 28, 2024 with a commercial bank to (i) exchange its funds denominated in RMB for Japanese Yen (“JPY”) at a fixed exchange rate of 0.047840 with the notional amount of RMB20,222; and (ii) exchange the monthly floating rate interest payment denominated in JPY (see Note 12) for a fixed rate of 3.15% interest payment denominated in RMB. The foreign currency swap contracts and cross currency interest rate swap contracts will be terminated on November 24, 2025 and November 25, 2025, respectively. Jilin Zhengye determined the foreign currency swap contracts and cross currency interest rate swap contracts as non-designated derivative instruments, which are remeasured to fair value at each reporting date and the fair value of foreign currency swap contracts is based on market quotes for foreign currencies and interest rate swaps are based on market interest curves. As observable inputs are available for these derivatives, they have been classified in Level 2. Changes in the fair value of foreign currency swap derivative and interest rate swap derivative are recognized in the consolidated statements of operations and comprehensive income (loss) as unrealized gains on short-term investments.</w:t>
      </w:r>
    </w:p>
    <w:p>
      <w:pPr>
        <w:spacing w:after="0" w:line="188"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Zhengye entered into foreign currency swap contracts and cross-currency interest rate swap contracts on November 7, 2025 with a commercial bank to (i) exchange its funds denominated in RMB for Japanese Yen (“JPY”) at a fixed exchange rate of 0.046410 with the notional amount of RMB10,568; and (ii) exchange the monthly floating rate interest payment denominated in JPY (see Note 12) for a fixed rate of 2.89% interest payment denominated in RMB. The foreign currency swap contracts and cross currency interest rate swap contracts will be terminated on November 5, 2026 and November 6, 2026, respectively. Jilin Zhengye determined the foreign currency swap contracts and cross currency interest rate swap contracts as non-designated derivative instruments, which are remeasured to fair value at each reporting date and the fair value of foreign currency swap contracts is based on market quotes for foreign currencies and interest rate swaps are based on market interest curves. As observable inputs are available for these derivatives, they have been classified in Level 2. Changes in the fair value of foreign currency swap derivative and interest rate swap derivative are recognized in the consolidated statements of operations and comprehensive income (loss) as unrealized gains on short-term investments.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of the foreign currency swap contracts and cross currency interest rate swap contracts are the estimated amount that the Company would pay to sell or transfer the swap at the reporting date, taking into account current interest rates and the current credit worthiness of the swap counterparties, in addition to foreign exchange rates for the cross-currency swap agreement. The estimated amount is the present value of future cash flows, adjusted for credit risk. The Company transacts all of these derivative instruments through investment-grade rated financial institutions at the time of the transaction. It is possible that the amount recorded as a derivative asset or liability could vary by a material amount in the near term if there is volatility in the credit markets or if credit risk were to change significantly.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foreign currency forward contracts and cross-currency interest rate swap agreement at the end of each period is most significantly affected by the interest rate implied by the benchmark interest yield curve, including its relative steepness and the forward foreign exchange rates, respectively. Interest rates and foreign exchange rates have experienced significant volatility in recent years in both the short and long term. While the fair value of our swap agreements is typically more sensitive to changes in short-term rates, significant changes in the long-term benchmark interest, foreign exchange rates, and the credit risk of the counterparties or the Company also materially impact on the fair values of our swap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2025, there were no transfers between levels of the fair value hierarchy.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To determine revenue recognition for contracts with customers, the Company performs the following five steps:</w:t>
      </w:r>
    </w:p>
    <w:p>
      <w:pPr>
        <w:spacing w:after="0" w:line="160"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Step 1:</w:t>
        <w:tab/>
        <w:t>Identify the contract with the customer</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Step 2:</w:t>
      </w:r>
      <w:r>
        <w:rPr>
          <w:sz w:val="20"/>
          <w:szCs w:val="20"/>
          <w:color w:val="auto"/>
        </w:rPr>
        <w:tab/>
      </w:r>
      <w:r>
        <w:rPr>
          <w:rFonts w:ascii="Times New Roman" w:cs="Times New Roman" w:eastAsia="Times New Roman" w:hAnsi="Times New Roman"/>
          <w:sz w:val="17"/>
          <w:szCs w:val="17"/>
          <w:color w:val="auto"/>
        </w:rPr>
        <w:t>Identify the performance obligations in the contract</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Step 3:</w:t>
      </w:r>
      <w:r>
        <w:rPr>
          <w:sz w:val="20"/>
          <w:szCs w:val="20"/>
          <w:color w:val="auto"/>
        </w:rPr>
        <w:tab/>
      </w:r>
      <w:r>
        <w:rPr>
          <w:rFonts w:ascii="Times New Roman" w:cs="Times New Roman" w:eastAsia="Times New Roman" w:hAnsi="Times New Roman"/>
          <w:sz w:val="17"/>
          <w:szCs w:val="17"/>
          <w:color w:val="auto"/>
        </w:rPr>
        <w:t>Determine the transaction price</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Step 4:</w:t>
        <w:tab/>
        <w:t>Allocate the transaction price to the performance obligations in the contract</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Step 5:</w:t>
        <w:tab/>
        <w:t>Recognize revenue when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manufactures and sells veterinary vaccines, with an emphasis on vaccines for livestock, to customers.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 with their customers to provide veterinary vaccines, mainly vaccines for livestock. All of the Company’s contracts have single performance obligation as the promise is to transfer the goods to customers, and there are no other separately identifiable promises in the contracts. The Company recognizes revenue when it transfers its goods to customers in an amount that reflects the consideration to which the Company expects to be entitled in such exchange. The Company accounts for the revenue generated from sales of its products to its customers on a gross basis, because the Company is acting as a principal in these transactions, is subject to inventory risk, has latitude in establishing prices, and is responsible for fulfilling the promise to provide customers the specified goods. The Company’s revenue is recognized at a point in time when the control has been transferred, usually when the customer accepts the goods.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their distributors with sales rebate. According to the items in the contract, the Company pays certain sales rebate, in the form of products with equivalent value, to distributor once the distributor purchases stipulated amount products from the Company. Sales rebate is considered as variable consideration. The Company estimates annual expected revenue of each individual distributor with reference to their historical results. The sales rebate reduces revenues recognized. At the end of each reporting period, the Company updates the estimated revenue to represent faithfully the circumstances present at the end of the reporting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sales rebate, the Company’s products are sold with no right of return and the Company does not provide other credits or sales incentives to customers. Revenue is reported net of value added tax (“VAT”) collected on behalf of tax authorities in respect of product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its revenue from contracts by product category and distribution channel. See Note 17 for information regarding revenue disaggregation.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contract assets as of December 31, 2024 and 2025,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primarily relate to unsatisfied performance obligations, such as sales rebate and payment received from customers before the Company’s products are delivered. Contract liabilities amounted to RMB3,885 and RMB3,485 (US$498) at the beginning of the year 2024 and 2025, respectively. Revenue included in the beginning balance of contract liabilities and recognized in the years ended December 31, 2024 and 2025 amounted to RMB3,007 and RMB2,731 (US$391),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revenues consist primarily of materials costs, labor costs, shipping and handling expense, inspection costs, depreciation and amortization expenses and related costs, which are directly attributable to production. Write-down of inventories is also recorded in cost of sales, if 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Shipping and handling costs incurred to transport goods to customers are expensed in the periods incurred and are included in cost of revenues. The Company accounts for shipping and handling expenses as fulfillment costs because shipping and handling activities occur before the customers obtains control of the goods. Shipping and handling expenses amounted to RMB5,077, RMB5,924 and RMB3,712 (US$531) for the years ended December 31, 2023,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travelling expenses, marketing conference expenses, advertising expenses and salaries and other compensation-related expenses for sales and marketing personnel. The Company expenses all advertising costs as incurred. Advertising costs amounted to RMB2,542, RMB1,539 and RMB1,721 (US$246) for the years ended December 31,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primarily consist of production and procurement expenses related to research and development activities, technical expenses, payroll and related expenses for personnel engaged in research and development activities, depreciation and amortization of fixed assets which are used in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and benefits for employees involved in general corporate functions and those not specifically dedicated to research and development activities, depreciation and amortization, which are not used in research and development activities, legal and other professional services fees, rental and other general corporate related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subsidy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subsidy represents cash subsidies received from the PRC government. Cash subsidies that have no defined rules and regulations to govern the criteria necessary for companies to enjoy the benefits are recognized when received. Such subsidies are generally provided as incentives from the local government to encourage the expansion of local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 instruments are initially recorded at fair value as either assets or liabilities in the accompanying balance sheet and subsequently remeasured to fair value at each reporting date, regardless of the purpose or intent for holding the derivative. The resulting derivative assets or liabilities are shown as a single line and are not net off against one another on the face of the balance sheet. The method of recognizing the resulting gain or loss is dependent on whether the derivative contract qualifies for hedge accounting and has been designated as a hedging instrument. For derivative instruments that are not designated or that do not qualify as hedging instruments under ASC 815 – Derivatives and Hedging, the assets have been recognized as “derivative assets” included in the short-term investments and the liability has been recognized as “derivative liabilities” on the balance sheet and changes in the fair value of the derivative financial instruments are recognized in earnings. Gains and losses from the Company’s non-designated foreign currency swap contracts and interest rate swap contracts are recorded in unrealized gains on short-term investments in the Company’s consolidated statements of operations and comprehensive income (loss) but do not impact our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Value-added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net of VAT. VAT is based on gross sales price and the VAT rate applicable to the Company is 3% for the years ended December 31, 2023, 2024 and 2025. Entities that are VAT general taxpayers are allowed to offset qualified input VAT paid to suppliers against their output VAT liabilities. Net VAT balance between input VAT and output VAT is recorded as VAT payable if output VAT is larger than input VAT and is recorded as VAT recoverable if input VAT is larger than output VAT. All of the VAT returns filed by the Company’s subsidiaries in China, have been and remain subject to examination by the tax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Current income taxes are recorded in accordance with the regulations of the relevant tax jurisdiction. The Company accounts for income taxes under the asset and liability method in accordance with ASC 740,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(“ASC 740”).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operations and comprehensive income (loss) in the period of change. Valuation allowances are established when necessary to reduce the amount of deferred tax assets if it is considered more likely than not that amount of the deferred tax assets will not be realized.</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No penalties and interest incurred related to underpayment of income tax are classified as income tax expenses in the period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 A transaction is considered to be a related party transaction when there is a transfer of resources or obligations between related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It is not, however, practical to determine the fair value of amounts due from/to related parties due to their related party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noncontrolling interest is recognized to reflect the portion of a subsidiary’s equity which is not attributable, directly or indirectly, to the Company. Among them, 15.2439% of the noncontrolling interests of Jilin Zhengye is held by Jilin Economic and Technological Development Zone Economic and Technological Development General Corporation, 0.9146% of the noncontrolling interests of Jilin Zhengye is held by Jilin Jinqiao Investment Co. Ltd., and 0.0001% of the noncontrolling interests of Jilin Zhengye is held by Yufen Liu. Additionally, Beijing Zhongnong Zhengye Biotechnology Co., Ltd. (“Beijing Zhengye”) is a subsidiary of Jilin Zhengye, in which Jilin Zhengye holds a 51% equity interests, with the remaining 49% noncontrolling interests held by Youjia Technology Consulting Services (Tianjin) Co., Ltd. Consolidated net income on the consolidated statements of operations and comprehensive income (loss) includes the net income attributable to noncontrolling interests when applicable. The cumulative results of operations attributable to noncontrolling interests are also recorded as noncontrolling interests in the Company’s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(“EPS”) in accordance with ASC 260, “Earnings per Share.” ASC 260 requires companies to present basic and diluted EPS. Basic EPS is measured as net income attributable to the Company, divided by the weighted average ordinary share outstanding for the period. Diluted EPS presents the dilutive effect on a per-share basis of the potential ordinary shares (e.g., convertible securities, options, and warrants) as if they had been converted at the beginning of the periods presented, or issuance date, if later.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applies 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(“ASC 220”), with respect to reporting and presentation of comprehensive income and its components in a full set of financial statements. Comprehensive income is defined to include all changes in equity of the Company during a period arising from transactions and other event and circumstances except those resulting from investments by shareholders and distributions to shareholders. For the years ended December 31, 2023, 2024 and 2025, the Company’s comprehensive income includes net income and foreign currency translation adjustment.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Statutory reserves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laws applicable to the PRC, PRC entities must make appropriations from after-tax profit to the non-distributable “statutory surplus reserve fund.” Subject to certain cumulative limits, the “statutory surplus reserve fund” requires annual appropriations of 10% of after-tax profit until the aggregated appropriations reach 50% of the registered capital (as determined under accounting principles generally accepted in the PRC (“PRC GAAP”) at each year-end). For foreign-invested enterprises and joint ventures in the PRC, annual appropriations should be made to the “reserve fund.” For foreign-invested enterprises, the annual appropriation for the “reserve fund” cannot be less than 10% of after-tax profits until the aggregated appropriations reach 50% of the registered capital (as determined under PRC GAAP at each year-end). If the Company has accumulated loss from prior periods, the Company is able to use the current period net income after tax to offset the accumulated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performance and the specific facts and circumstances of each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adopts Accounting Standards Update (“ASU”) 2016-02, Lease (FASB ASC Topic 842) to account its lease. ASC 842 requires that lessees recognize right-of-use (“ROU”) assets and lease liabilities calculated based on the present value of lease payments for all lease agreements with terms that are greater than twelve months. ASC 842 distinguishes leases as either a finance lease or an operating lease on the consolidated balance sheets that affects how the leases are measured and presented in the statement of operations and statement of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the Company’s right to use underlying assets for the lease term and lease liabilities represent the Company’s obligation to make lease payments arising from the lease. 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 whether the contract involves the use of an identified asset, whether it has the right to obtain substantially all the economic benefits from the use of the asset and whether it has the right to control the use of the asset.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ROU of asset is initially measured at cost, which comprises the initial amount of the lease liability adjusted for any lease payments made at or before the commencement date, plus any initial direct costs incurred and less any lease incentive received. The ROU assets and related lease liabilities are recognized at the lease commencement date. The Company recognizes operating lease expenses on a straight-line basis over the lease term.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liability is initially measured at the present value of the outstanding lease payments at the commencement date, discounted using the Company’s incremental borrowing rate. Lease payments included in the measurement of the lease liability comprise fixed lease payments, variable lease payments that depend on an index or a rate, amounts expected to be payable under a residual value guarantee and any exercise price under a purchase option that the Company is reasonably certain to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liability is measured at amortized cost using the effective interest rate method. It is re-measured when there is a change in future lease payments, if there is a change in the estimate of the amount expected to be payable under a residual value guarantee, or if there is any change in the Company assessment of option purchases, contract extensions or termination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 establishes standards for companies to report in their financial statement information about operating segments, products, services, geographic areas, and major customers.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criteria established by ASC 280, our chief operating decision maker (“CODM”) has been identified as our Chief Executive Officer, who reviews consolidated results when making decisions about allocating resources and assessing performance of the company. As a whole and hence, we have only one reportable segment. We do not distinguish between markets or segments for the purpose of internal reporting. As our long-lived assets are substantially located in the PRC, no geographical segments are presented. For the operating results of segment provided to and reviewed by CODM, please refer to the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and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Political, social and economic risks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substantial operations in China through its PRC subsidiaries.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this may not be indicative of future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Company’s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interest rate risk on its interest-bearing assets and liabilities. As part of its asset and liability risk management, the Company reviews and takes appropriate steps to manage its interest rate exposure on its interest-bearing assets and liabilities. The Company has not been exposed to material risks due to changes in market interest rates and has not used any derivative financial instruments to manage the interest risk exposure during the period/year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in bank, accounts receivable, and other receivables. The Company places its cash with financial institutions with high credit ratings and quality.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credit evaluations of customers, and generally does not require collateral or other security from its customers. The Company establishes an allowance for expected credit losses primarily based upon the factors surrounding the credit risk of specific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customers and suppliers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one major client accounted for 49.0% of the Company’s total accounts receivable. The client is a listed company and a leading pig farming company in China. The Company’s outstanding accounts receivable from its largest client, which accounted for 49.0% of the Company’s total accounts receivable as of December 31, 2024, has been fully collected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two clients accounted for 11.8% and 11.6% of the Company’s total accounts receivable,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two clients accounted for 52.1% and 15.0% of the Company’s total revenues, respectively. For the year ended December 31, 2024, one client accounted for 44.6% of the Company’s total revenues. For the year ended December 31, 2025, one client accounted for 13.7% of the Company’s total revenues.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one vendor accounted for 13.7% of the Company’s total accounts payable. As of December 31, 2025, one vendor accounted for 10.2% of the Company’s total accounts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no vendor accounted for above 10% of the Company’s total purchases. For the year ended December 31, 2024, one vendor accounted for 14.2% of the Company’s total purchases. For the year ended December 31, 2025, two vendors accounted for 12.3% and 12.2% of the Company’s total purchases.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other amendments in this update improve the effectiveness and comparability of disclosures by</w:t>
      </w:r>
    </w:p>
    <w:p>
      <w:pPr>
        <w:spacing w:after="0" w:line="3" w:lineRule="exact"/>
        <w:rPr>
          <w:sz w:val="20"/>
          <w:szCs w:val="20"/>
          <w:color w:val="auto"/>
        </w:rPr>
      </w:pPr>
    </w:p>
    <w:p>
      <w:pPr>
        <w:jc w:val="both"/>
        <w:ind w:firstLine="8"/>
        <w:spacing w:after="0" w:line="252" w:lineRule="auto"/>
        <w:tabs>
          <w:tab w:leader="none" w:pos="2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disclosures of pretax income (or loss) and income tax expense (or benefit) to be consistent with U.S. Securities and Exchange Commission Regulation S-X 210.4-08(h), Rules of General Application—General Notes to Financial Statements: Income Tax Expense, and (2) removing disclosures that are no longer considered cost beneficial or relevant.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The Company will adopt the standard in its annual reporting for the fiscal year ended December 31, 2026. The adoption of the standard will result in expanded annual income tax disclosures, with no impact on the Company’s financial position or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The objective of ASU 2024-03 is to improve disclosures about a public entity’s expenses,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disaggregation of income statement expenses. In January 2025, the FASB further clarified the effective date of ASU 2024-03 with the issuance of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 (Subtopic 220-40)</w:t>
      </w:r>
      <w:r>
        <w:rPr>
          <w:rFonts w:ascii="Times New Roman" w:cs="Times New Roman" w:eastAsia="Times New Roman" w:hAnsi="Times New Roman"/>
          <w:sz w:val="18"/>
          <w:szCs w:val="18"/>
          <w:color w:val="auto"/>
        </w:rPr>
        <w:t xml:space="preserve">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ASU 2025-03 clarifies the guidance to determine the accounting acquirer in a business combination that is affected primarily by exchanging equity interests, when the legal acquiree is a variable interest entity that meets the definition of a business. ASU 2025-03 requires entities to consider the same factors in ASC 805, Business Combinations,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on a prospective basis to any acquisition transaction that occurs after the initial application date. The Company is currently evaluating the impact ASU 2025-03 will have on its financial statement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2025-04, Compensation—Stock Compensation (Topic 718) and Revenue from Contracts with Customers (Topic 606). ASU 2025-04 revises the definition of the term performance condition for share-based consideration payable to a customer to incorporate conditions that are based on the volume or monetary amount of a customer’s purchases or potential purchases. ASU 2025-04 also eliminates the policy election to account for forfeitures as they occur for awards with service conditions. ASU 2025-04 also clarifies that ASC 606 variable consideration guidance does not apply to share-based payments to customers; instead, vesting probability should be assessed solely under ASC 718, Compensation—Stock Compensation. ASU 2025-04 is effective for the Company’s annual reporting periods beginning after December 15, 2026, and interim reporting periods within those annual reporting periods, with early adoption permitted. ASU 2025-04 may be applied on either a modified retrospective basis or on a retrospective basis. The Company is currently assessing the impact this standard will have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amends ASC 326, Financial Instruments—Credit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Company’s annual reporting periods beginning after December 15, 2025, and interim reporting periods within those annual reporting periods, with early adoption permitted. ASU 2025-05 should be applied on a prospective basis. The Company is currently evaluating the impact ASU 2025-05 will have on its financial statement disclosures.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to modernize the accounting for internal-use software costs, primarily by simplifying the requirements to capitalize software development costs. This update is effective beginning with the Company’s 2028 fiscal year annual reporting period, with early adoption permitted. The Company is currently evaluating the impact that the adoption of this standard will have on its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and for interim reporting periods within annual reporting periods beginning after December 15, 2028, for entities other than public business entities. Early adoption is permitted. The Company is currently evaluating the impact of ASU 2025-11 on its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Company is currently evaluating the impact of ASU 2025-12 on its financial statements and related disclosures.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Company’s balance sheets, statements of income and statements of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 consisted of the following:</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marketable securities in Zhengbang (i)</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Derivate assets (ii)</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the Company did not sell its investment in marketable securities in Zhengbang and recorded net unrealized loss of RMB9, gain of RMB110, gain of RMB146 (US$20), respectively, in the consolidated statements of operations and comprehensive income (loss).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Zhengye entered into foreign currency swap contracts and cross currency interest rate swap contracts on November 28, 2024 and November 7, 2025 with a commercial bank (see Note 2 and Note 12). Jilin Zhengye determined the foreign currency forward contracts and cross currency interest rate swap contracts as non-designated derivative instruments, which are initially recorded at fair value as either assets or liabilities in the accompanying balance sheet and subsequently remeasured to fair value at each reporting date.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2025, Jilin Zhengye recorded gain on fair value changes of RMB4 and RMB49 (US$7), respectively, from cross currency interest rate swap derivative instrument and recorded gain on fair value changes of RMB95 and RMB68 (US$10), respectively, from foreign currency forward derivative instrument.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the allowance for credit losses consisted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76,437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36,519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3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(16,874)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(18,034)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 analysis of the allowance for credit losses was as follows: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(18,616)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(16,874)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Reversal (provision)</w:t>
            </w:r>
          </w:p>
        </w:tc>
        <w:tc>
          <w:tcPr>
            <w:tcW w:w="138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1,742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1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the end of the year</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(16,874</w:t>
            </w:r>
          </w:p>
        </w:tc>
        <w:tc>
          <w:tcPr>
            <w:tcW w:w="240" w:type="dxa"/>
            <w:vAlign w:val="bottom"/>
            <w:tcBorders>
              <w:top w:val="single" w:sz="8" w:color="CCEEFF"/>
            </w:tcBorders>
          </w:tcPr>
          <w:p>
            <w:pPr>
              <w:jc w:val="right"/>
              <w:ind w:right="9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5. NOTES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receivable and the allowance for credit losses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114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7"/>
                <w:szCs w:val="17"/>
                <w:color w:val="auto"/>
              </w:rPr>
            </w:pPr>
          </w:p>
        </w:tc>
        <w:tc>
          <w:tcPr>
            <w:tcW w:w="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7"/>
                <w:szCs w:val="17"/>
                <w:color w:val="auto"/>
              </w:rPr>
            </w:pPr>
          </w:p>
        </w:tc>
      </w:tr>
      <w:tr>
        <w:trPr>
          <w:trHeight w:val="22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25,592</w:t>
            </w:r>
          </w:p>
        </w:tc>
        <w:tc>
          <w:tcPr>
            <w:tcW w:w="90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5" w:name="page156"/>
    <w:bookmarkEnd w:id="15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 NET</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17,737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33,054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58,220</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39,166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recorded inventory write-down of RMB10,026, RMB5,962 and RMB12,801 (US$1,831) for the obsolete inventories,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PREPAYMENT AND OTHER ASSETS,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 consisted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gridSpan w:val="3"/>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Prepaid advertising and promotion expenses</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4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Prepaid financial consulting expenses</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13,986</w:t>
            </w:r>
          </w:p>
        </w:tc>
        <w:tc>
          <w:tcPr>
            <w:tcW w:w="4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legal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transfer license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other receivable- a related party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prepayments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 net</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25,667</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0" w:firstLine="8"/>
        <w:spacing w:after="0" w:line="506"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business was not carried out, these prepaid expenses were fully refunded on April 24, 2026. An analysis of the allowance for credit losses was as follows:</w:t>
      </w:r>
    </w:p>
    <w:p>
      <w:pPr>
        <w:spacing w:after="0" w:line="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 (provision)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the end of the year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7"/>
              </w:rPr>
              <w:t>(223)</w:t>
            </w:r>
          </w:p>
        </w:tc>
        <w:tc>
          <w:tcPr>
            <w:tcW w:w="780" w:type="dxa"/>
            <w:vAlign w:val="bottom"/>
          </w:tcPr>
          <w:p>
            <w:pPr>
              <w:spacing w:after="0"/>
              <w:rPr>
                <w:sz w:val="18"/>
                <w:szCs w:val="18"/>
                <w:color w:val="auto"/>
              </w:rPr>
            </w:pPr>
          </w:p>
        </w:tc>
        <w:tc>
          <w:tcPr>
            <w:tcW w:w="5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2"/>
              </w:rPr>
              <w:t>(183)</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5"/>
        </w:trPr>
        <w:tc>
          <w:tcPr>
            <w:tcW w:w="800" w:type="dxa"/>
            <w:vAlign w:val="bottom"/>
          </w:tcPr>
          <w:p>
            <w:pPr>
              <w:spacing w:after="0"/>
              <w:rPr>
                <w:sz w:val="22"/>
                <w:szCs w:val="22"/>
                <w:color w:val="auto"/>
              </w:rPr>
            </w:pP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tcPr>
          <w:p>
            <w:pPr>
              <w:spacing w:after="0"/>
              <w:rPr>
                <w:sz w:val="22"/>
                <w:szCs w:val="22"/>
                <w:color w:val="auto"/>
              </w:rPr>
            </w:pPr>
          </w:p>
        </w:tc>
        <w:tc>
          <w:tcPr>
            <w:tcW w:w="5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8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6" w:name="page157"/>
    <w:bookmarkEnd w:id="15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cost:</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205,425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Mechanical equipment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148,261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356,965</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367,977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52,620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(111,553)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(18,844)</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245,412</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236,202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33,776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255,164</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236,812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33,863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disposed of fixed assets with a net carrying value of RMB807 and recorded a loss on the disposal of fixed assets of RMB187. For the year ended December 31, 2024, the Company disposed of fixed assets with a net carrying value of RMB281 and recorded a loss on the disposal of fixed assets of RMB174. For the year ended December 31, 2025, the Company had no disposals of fixed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RMB20,239, RMB20,452 and RMB21,221 (US$3,035) for the years ended December 31, 2023, 2024 and 2025,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property, plant and equipment pledged by the Company to secure loans (Note 12) granted to the Company at the respective balance sheet dates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152,935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22,412</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LAND USE RIGHTS, NET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land use rights as of the respective balance sheet dates: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 carrying amount of land use right were fully pledged to secure loans (Note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RMB258, RMB257 and RMB257 (US$37) for the years ended December 31, 2023, 2024 and 2025,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INTANGIBLE ASSETS,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Company’s intangible assets as of the respective balance sheet dates: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734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Patents obtained from Harbin Veterinary Research Institute</w:t>
            </w:r>
          </w:p>
        </w:tc>
        <w:tc>
          <w:tcPr>
            <w:tcW w:w="1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26,439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26,439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obtained from China Agricultural University</w:t>
            </w:r>
          </w:p>
        </w:tc>
        <w:tc>
          <w:tcPr>
            <w:tcW w:w="1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3,300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Patents obtained from China Institute of Veterinary Drug Control</w:t>
            </w:r>
          </w:p>
        </w:tc>
        <w:tc>
          <w:tcPr>
            <w:tcW w:w="1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6,600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obtained from Jiangsu Nannong High-Tech Co., Ltd.</w:t>
            </w:r>
          </w:p>
        </w:tc>
        <w:tc>
          <w:tcPr>
            <w:tcW w:w="1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7,200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Patents obtained from Nanjing Agricultural University</w:t>
            </w:r>
          </w:p>
        </w:tc>
        <w:tc>
          <w:tcPr>
            <w:tcW w:w="1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7,600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obtained from others</w:t>
            </w:r>
          </w:p>
        </w:tc>
        <w:tc>
          <w:tcPr>
            <w:tcW w:w="1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14,311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50,811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66,184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14,705</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of Purchased software</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(485)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Harbin Veterinary Research Institute</w:t>
            </w:r>
          </w:p>
        </w:tc>
        <w:tc>
          <w:tcPr>
            <w:tcW w:w="1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(25,731)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(26,203)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China Agricultural University</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(1,678)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China Institute of Veterinary Drug Control</w:t>
            </w:r>
          </w:p>
        </w:tc>
        <w:tc>
          <w:tcPr>
            <w:tcW w:w="1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(3,689)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Jiangsu Nannong High-Tech Co., Ltd.</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(2,470)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(3,100)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Nanjing Agricultural University</w:t>
            </w:r>
          </w:p>
        </w:tc>
        <w:tc>
          <w:tcPr>
            <w:tcW w:w="1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(4,377)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 of Patents obtained from others</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(12,904)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(14,669)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(2,098)</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240" w:type="dxa"/>
            <w:vAlign w:val="bottom"/>
            <w:tcBorders>
              <w:top w:val="single" w:sz="8" w:color="CCEEFF"/>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14,850</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47,084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RMB3,415, RMB3,454 and RMB4,405 (US$630) for the years ended December 31, 2023, 2024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2024 and 2025, the Company recorded impairment of intangible assets in the amount of nil.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estimated amortization expenses for the intangible assets for each of the next five years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3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19,209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w:t>
            </w:r>
          </w:p>
        </w:tc>
      </w:tr>
      <w:tr>
        <w:trPr>
          <w:trHeight w:val="223"/>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F-25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8" w:name="page159"/>
    <w:bookmarkEnd w:id="15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several operating leases for employee dormitory, garage and offices. The Company’s lease agreements do not contain any material residual value guarantees or material restrictive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supplemental balance sheet information related to operating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940" w:type="dxa"/>
            <w:vAlign w:val="bottom"/>
            <w:tcBorders>
              <w:top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0"/>
                <w:szCs w:val="20"/>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40"/>
              <w:spacing w:after="0" w:line="203" w:lineRule="exact"/>
              <w:rPr>
                <w:sz w:val="20"/>
                <w:szCs w:val="20"/>
                <w:color w:val="auto"/>
              </w:rPr>
            </w:pPr>
            <w:r>
              <w:rPr>
                <w:rFonts w:ascii="Times New Roman" w:cs="Times New Roman" w:eastAsia="Times New Roman" w:hAnsi="Times New Roman"/>
                <w:sz w:val="18"/>
                <w:szCs w:val="18"/>
                <w:color w:val="auto"/>
                <w:w w:val="88"/>
              </w:rPr>
              <w:t>433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expense for the year ended December 31, 2025 amounted to RMB85 (US$12).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operating lease ROU assets amounted to RMB72 (US$10)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 expenses of short-term lease for the year ended December 31, 2025 amounted to RMB17 (US$2).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all of operating lease as of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9.33 years</w:t>
            </w: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Twelve months ending December 31,</w:t>
            </w:r>
          </w:p>
        </w:tc>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9" w:name="page160"/>
    <w:bookmarkEnd w:id="15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balances of loans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Industrial Bank Jilin Branch</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0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4.35%, from March 28, 2024 to March 25, 2025</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0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4.35%, from March 28, 2024 to March 25, 2025</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0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4.30%, from May 13, 2024 to May 12, 2025</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0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4.30%, from August 7, 2024 to August 1, 2025</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70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3.15%, from November 29, 2024 to November 25, 2025</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19,543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0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4.30%, from December 11, 2024 to December 10, 2025</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70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4.90%, from April 11, 2022 to April 10, 2025</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0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4.00%, from November 8, 2024 to November 5, 2027</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5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70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4.20%, from March 25, 2025 to March 23, 2026</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6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4.20%, from March 31, 2025 to March 30, 2026</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(11) Annual interest rate of 2.89%, from November 7, 2025 to November 6, 2026</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w:t>
            </w:r>
          </w:p>
        </w:tc>
        <w:tc>
          <w:tcPr>
            <w:tcW w:w="6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4.10%, from December 10, 2025 to December 9, 2026</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6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4.20%, from August 1, 2025 to July 31, 2028</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China Minsheng Bank Jilin Branch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6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January 8, 2024 to January 8, 2025</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6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February 5, 2024 to February 5, 2025</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6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September 9, 2024 to September 9, 2025</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w:t>
            </w:r>
          </w:p>
        </w:tc>
        <w:tc>
          <w:tcPr>
            <w:tcW w:w="6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September 18, 2024 to September 18, 2025</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6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Annual interest rate of 3.85%, from February 6, 2025 to February 6, 2026 </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7"/>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6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February 21, 2025 to February 21, 2026</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5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6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Annual interest rate of 3.85%, from September 8, 2025 to September 8, 2026</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4,990</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 of Jilin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6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Annual interest rate of 3.85%, from March 28, 2025 to March 24, 2026</w:t>
            </w:r>
            <w:r>
              <w:rPr>
                <w:rFonts w:ascii="Times New Roman" w:cs="Times New Roman" w:eastAsia="Times New Roman" w:hAnsi="Times New Roman"/>
                <w:sz w:val="29"/>
                <w:szCs w:val="29"/>
                <w:b w:val="1"/>
                <w:bCs w:val="1"/>
                <w:color w:val="auto"/>
                <w:vertAlign w:val="superscript"/>
              </w:rPr>
              <w:t>(ii)</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86,433</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74,650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10,675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Bank loans – current portion</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(81,633)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loans– non-current portion</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3"/>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repayments were guaranteed by buildings and land use right.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repayments were guaranteed by Jilin Zhengye Group Co.,Ltd.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borrowing of the JPY loan, the Company entered into foreign exchange swap contracts and cross-currency interest rate swap contracts with Industrial Bank with termination dates on November 24, 2025, November 25, 2025, November 5, 2026 and November 6, 2026, respectively, to run concurrently with the JPY Loan. The interest rates payable by the Company under the cross-currency interest rate swap contracts are fixed interest rates of 3.15% and 2.89% denominated in RMB and the Company is required to transfer the principal amount of the JPY loan at fixed exchange rate of 0.0478740 upon maturity in exchange for JPY422.7 million (or RMB20.2 million) and 0.046410 upon maturity in exchange for JPY227.7 million (or RMB10.6 million) under the foreign exchange swap contracts (see Note 2 and Note 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short-term interest rate was 4.35%, 4.26% and 3.87% for the years ended December 31, 2023, 2024 and 2025, respectively. Interest expense for the years ended December 31, 2023, 2024 and 2025, amounted to RMB 4,423, RMB4,043 and RMB3,400 (US$486),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China Minsheng Bank Jilin Branch provided a working capital credit facility to the Company with a term from January 26, 2025 to January 25, 2026. Bank of Jilin provided a working capital credit facility to the Company with a term from March 25, 2025 to March 24, 2026. As of December 31, 2025, the Company’s unused working capital credit facility was nil.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future long-term loan obligations according to the terms of the loan agreement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9,550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1,366</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LIABILITIES</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payables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c>
          <w:tcPr>
            <w:tcW w:w="1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welfare payables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1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Deposit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fee payables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1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IPO expenses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2,721</w:t>
            </w: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1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5,617</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 (“EIT”)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incorporated in the Cayman Islands and conducts its primary business operations through the subsidiaries in the PRC. Under the current laws of the Cayman Islands, the Company is not subject to tax on income or capital gain arising in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 (“BVI”)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subsidiaries incorporated in the BVI are not subject to tax on income or capital gain, in addition, payments of dividend by these subsidiaries to their shareholders are not subject to withholding tax in the BVI.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subsidiary incorporated in Hong Kong, which is a two-tiered profits tax rates regime, in which the first HK$2 million of assessable profits will be taxed at the rate of 8.25%, and assessable profits above HK$2 million will be taxed at the rate of 16.5%.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28" w:gutter="0" w:footer="0" w:header="0"/>
        </w:sectPr>
      </w:pPr>
    </w:p>
    <w:bookmarkStart w:id="161" w:name="page162"/>
    <w:bookmarkEnd w:id="16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PRC subsidiaries are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domestic enterprises and Foreign Investment Enterprises (the “FIE”) are usually subject to a unified 25% enterprise income tax rate while preferential tax rates, tax holidays and even tax exemption may be granted on case-by-case basis. According to the relevant PRC tax policies, once an enterprise meets certain requirements and is identified as a small-scale minimal profit enterprise, the portion of its taxable income not more than RMB3 million is subject to a reduced effective rate of 5%. EIT grants preferential tax treatment to certain High and New Technology Enterprises (“HNTEs”). Under this preferential tax treatment, HNTEs are entitled to an income tax rate of 15%, subject to a requirement that they re-apply for the HNTE status every three years. Jilin Zhengye renewed the HNTE tax status on October 28, 2025, which reduced its statutory income tax rate to 15% for the three years ended October 27, 2028. Both Hainan Senhan and Beijing Zhengye meet the criteria for small low-profit enterprises and are allowed to reduce its statutory income tax rate to 5% for the years ended December 31, 2024 and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comprised of:</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tax computed by applying the statutory income tax rate of 25% for the years ended December 31, 2023, 2024 and 2025 applicable to the PRC operations to income tax expense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4140" w:type="dxa"/>
            <w:vAlign w:val="bottom"/>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10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income tax exemptions and reliefs</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non-deductible expense</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deduction for development and research expense</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r>
      <w:tr>
        <w:trPr>
          <w:trHeight w:val="210"/>
        </w:trPr>
        <w:tc>
          <w:tcPr>
            <w:tcW w:w="71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340" w:type="dxa"/>
            <w:vAlign w:val="bottom"/>
            <w:tcBorders>
              <w:top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7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 of deferred tax assets are as follows:</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2,558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operation loss</w:t>
            </w:r>
          </w:p>
        </w:tc>
        <w:tc>
          <w:tcPr>
            <w:tcW w:w="4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7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(23,184)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off against deferred tax liabilities</w:t>
            </w:r>
          </w:p>
        </w:tc>
        <w:tc>
          <w:tcPr>
            <w:tcW w:w="4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net deferred tax assets</w:t>
            </w:r>
          </w:p>
        </w:tc>
        <w:tc>
          <w:tcPr>
            <w:tcW w:w="27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10,991</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810"/>
              <w:spacing w:after="0"/>
              <w:rPr>
                <w:sz w:val="20"/>
                <w:szCs w:val="20"/>
                <w:color w:val="auto"/>
              </w:rPr>
            </w:pPr>
            <w:r>
              <w:rPr>
                <w:rFonts w:ascii="Times New Roman" w:cs="Times New Roman" w:eastAsia="Times New Roman" w:hAnsi="Times New Roman"/>
                <w:sz w:val="18"/>
                <w:szCs w:val="18"/>
                <w:color w:val="auto"/>
              </w:rPr>
              <w:t>F-29</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2" w:name="page163"/>
    <w:bookmarkEnd w:id="16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TAXATION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 of deferred tax assets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800" w:type="dxa"/>
            <w:vAlign w:val="bottom"/>
          </w:tcPr>
          <w:p>
            <w:pPr>
              <w:jc w:val="center"/>
              <w:ind w:left="2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800"/>
              <w:spacing w:after="0" w:line="198" w:lineRule="exact"/>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7"/>
                <w:szCs w:val="17"/>
                <w:color w:val="auto"/>
              </w:rPr>
            </w:pP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gain</w:t>
            </w:r>
          </w:p>
        </w:tc>
        <w:tc>
          <w:tcPr>
            <w:tcW w:w="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49"/>
        </w:trPr>
        <w:tc>
          <w:tcPr>
            <w:tcW w:w="8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off against deferred tax assets</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7"/>
              </w:rPr>
              <w:t>(132)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Realization of the net deferred tax assets is dependent on factors including future reversals of existing taxable temporary differences and adequate future taxable income. The Company and its subsidiaries evaluate the potential realization of deferred tax assets on an entity-by-entity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SHAREHOLDER’S EQUITY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the Cayman Islands in March 2023 under the Cayman Islands Companies Act as an exempted company with limited liability. The Company authorized 500,000,000 shares with US$0.0001 par value. In 2023, the Company issued 11,416,594 shares with US$0.0001 par value to five institute shareholders. On March 20, 2024, VVAX Holdings Limited transferred 399,581 ordinary shares of US$0.0001 each to Visuccess Holding Limited for a consideration of US$39.96, leaving VVAX Holdings Limited with 171,249 ordinary shares of US$0.0001 each.</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6, 2024, the Company formally executed a forward stock split of its ordinary shares at a ratio of one pre-split ordinary share to 4 post-split Ordinary Shares. After the stock split, the authorized number of Ordinary Shares became 2,000,000,000, increased from 500,000,000 pre-split shares. The par value changed from $0.0001 to $0.000025 accordingly. 45,666,376 Ordinary Shares were issued and outstanding as of December 31, 2023 and 2024. The number of shares and per share data are presented herein have been retroactively adjusted to give effect to the stock split.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8, 2025, the Company closed its IPO of 1,500,000 ordinary shares, par value $0.000025 per share. The ordinary shares were priced at $4.00 per share and approved for listing on The Nasdaq Capital Market and commenced trading under the ticker symbol “ZYBT” on January 7, 2025. Additionally, the Company had granted the underwriter an option, exercisable within 45 days from the closing date of the IPO, to purchase up to an additional 225,000 ordinary shares at the public offering price, less underwriting discounts, to cover the over-allotment. On January 14, 2025, the underwriters exercised their option in full to purchase an additional 225,000 ordinary shares at a public offering price of $4.00 per ordinary share to cover over-allotments. Gross proceeds of the IPO, including the exercise of the over-allotment, totaled RMB50,588 (US$7,234), before deducting underwriting discounts and other related expenses. The net proceeds of this offering were approximately RMB43,683 (US$6,247). 47,391,376 ordinary shares were issued and outstanding as of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reclassification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24, 2026, the shareholders of the Company adopted certain resolutions to approve a share reclassification. As a result, all of the issued and unissued ordinary shares of a par value of US$0.000025 each in the capital of the Company were re-designated and reclassified in the following manner (the “Share Reclassification”): (i) that 40,000,000 issued ordinary shares of a par value of US$0.000025 each held by Securingium Holding Limited were re-designated and reclassified as 40,000,000 Class B ordinary shares of a par value of US$0.000025 each; (ii) that each remaining issued ordinary share of a par value of US$0.000025 each was re-designated and reclassified as one issued Class A ordinary share of a par value of US$0.000025 each; (iii) that 60,000,000 authorized but unissued ordinary shares of a par value of US$0.000025 each were re-designated and reclassified as 60,000,000 authorized but unissued Class B ordinary shares of a par value of US$0.000025 each; (iv) that each remaining authorized but unissued ordinary share of a par value of US$0.000025 each was re-designated and reclassified as one authorized but unissued Class A ordinary share of a par value of US$0.000025 each; and (v) that, as a consequence of the Share Reclassification, the authorized share capital of the Company was altered from US$50,000 divided into 2,000,000,000 ordinary shares of a nominal or par value of US$0.000025 each, to US$50,000 divided into 2,000,000,000 ordinary shares of a par value of US$0.000025 each, comprising (1) 1,900,000,000 Class A ordinary shares of a par value of US$0.000025 each and (2) 100,000,000 Class B ordinary shares of a par value of US$0.000025 each.</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Share Reclassification is part of the Company’s recapitalization, which was accounted for on a retroactively basis as if the transaction occurred at the beginning of the period presented pursuant to ASC 260. All Class A ordinary shares and Class B ordinary shares and per share data for all periods have been retroactively restated accordingly.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declared cash dividends of RMB55,104, RMB205 and nil, respectively. For the years ended December 31, 2023, 2024 and 2025, the Company actually paid dividends in cash of RMB39,452, RMB16,023 and nil,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RESTRICTED NET ASSETS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PRC laws and regulations and the requirement that distributions by PRC entities can only be paid out of distributable profits computed in accordance with PRC GAAP, the PRC entities are restricted from transferring a portion of their net assets to the Company. Amounts restricted include paid-in capital, additional paid-in capital, and the statutory reserves of the Company’s PRC subsidiaries.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203,150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29,050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32,647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4,668</w:t>
            </w:r>
          </w:p>
        </w:tc>
      </w:tr>
      <w:tr>
        <w:trPr>
          <w:trHeight w:val="223"/>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revenues generated from different product categories for the years ended December 31, 2023,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Swine vaccines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188,919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157,789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90,143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Poultry vaccines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15,430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vaccines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211,651</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186,356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116,362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revenues generated from different distribution channels for the years ended December 31, 2023,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sales channel</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159,529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51,897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network</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49,623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59,854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8,795</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tender and procurement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211,651</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186,356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116,362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operating entity sold a motor vehicle to Beijing Hanzhenyuan international hotel Co., Ltd. (“Beijing Hanzhenyuan”), a company controlled by a shareholder of the Company, with a net carrying value of RMB738, and recorded loss on sale of fixed assets of RMB85. As of December 31, 2023 and 2024, the amount due from Beijing Hanzhenyuan was RMB738 and RMB738, which was fully collected subsequently on March 17,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obtained a working capital loan from Jiahe Developments Limited, which is controlled Mr. Zhenfa Han, the principal shareholder, director, and chairman of the board of the directors of the Company, in the amount of RMB146 (US$20). As of December 31, 2024, the amount due to Jiahe Developments Limited was RMB146 (US$20), which was fully repaid on January 27,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operating entity purchased goods from Jilin Huazheng Agriculture and Animal Husbandry Development Co., Ltd. (“Jilin Huazheng”), which is controlled by Mr. Zhenfa Han, the principal shareholder, director, and chairman of the board of the Company, in the amount of RMB127, RMB119 and RMB127 (US$18),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operating entity provided a working capital loan to Jinlin Huazheng, in the amount of RMB7,000 (US$1,001), which was fully repaid on June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operating entity purchased venue and catering services from Beijing Hanzhenyuan, which is controlled by a shareholder of the Company, in the amount of RMB746 (US$107).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significant capital expenditure commitment as of December 31, 2024 and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be involved in various legal proceedings, claims and other disputes arising from the commercial operations, projects, employees and other matters which, in general, are subject to uncertainties and in which the outcomes are not predictable. The Company determines whether an estimated loss from a contingency should be accrued by assessing whether a loss is deemed probable and can be reasonably estimated. Although the Company can give no assurances about the resolution of pending claims, litigation or other disputes and the effect such outcomes may have on the Company, the Company believes that any ultimate liability resulting from the outcome of such proceedings, to the extent not otherwise provided or covered by insurance, will not have a material adverse effect on the Company’s consolidated financial position or results of operations 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material cash requirements as of December 31, 2025 and any subsequent interim period primarily include working capital needs, capital expenditures, operating lease obligations, and long-term and short-term loans.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contractual obligations and commercial commitments as of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Payment Due by Period (in thousands)</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1 – 3</w:t>
            </w:r>
          </w:p>
        </w:tc>
        <w:tc>
          <w:tcPr>
            <w:tcW w:w="840" w:type="dxa"/>
            <w:vAlign w:val="bottom"/>
          </w:tcPr>
          <w:p>
            <w:pPr>
              <w:jc w:val="center"/>
              <w:ind w:lef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3 – 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8,850</w:t>
            </w:r>
          </w:p>
        </w:tc>
        <w:tc>
          <w:tcPr>
            <w:tcW w:w="8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65,906</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8,902</w:t>
            </w:r>
          </w:p>
        </w:tc>
        <w:tc>
          <w:tcPr>
            <w:tcW w:w="8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assessed all events from December 31, 2025 up through April 28, 2026, which is the date that these consolidated financial statements are available to be issued, unless as disclosed below, there are not any material subsequent events that require disclosure in these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Reclassification and Share Consolidation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2026, the shareholders of the Company adopted certain resolutions in the annual general meeting of shareholders to approve the Share Reclassification and share consolidation.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shareholders’ approval, all of the issued and unissued ordinary shares of a par value of US$0.000025 each in the capital of the Company were re-designated and reclassified in the following manner: (i) that 40,000,000 issued ordinary shares of a par value of US$0.000025 each held by Securingium Holding Limited were re-designated and reclassified as 40,000,000 Class B Ordinary Shares of a par value of US$0.000025 each; (ii) that each remaining issued ordinary share of a par value of US$0.000025 each was re-designated and reclassified as one issued Class A Ordinary Share of a par value of US$0.000025 each; (iii) that 60,000,000 authorized but unissued ordinary shares of a par value of US$0.000025 each were re-designated and reclassified as 60,000,000 authorized but unissued Class B Ordinary Shares of a par value of US$0.000025 each; (iv) that each remaining authorized but unissued ordinary share of a par value of US$0.000025 each was re-designated and reclassified as one authorized but unissued Class A Ordinary Share of a par value of US$0.000025 each; and (v) that, as a consequence of the Share Reclassification, the authorized share capital of the Company be altered from US$50,000 divided into 2,000,000,000 ordinary shares of a nominal or par value of US$0.000025 each, to US$50,000 divided into 2,000,000,000 Ordinary Shares of a par value of US$0.000025 each, comprising (1) 1,900,000,000 Class A Ordinary Shares of a par value of US$0.000025 each and (2) 100,000,000 Class B Ordinary Shares of a par value of US$0.000025 each.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board of directors of the Company was authorized and delegated to, by resolution of directors, consolidate all of issued and unissued Ordinary Shares of a par value of US$0.000025 each in the capital of the Company into ordinary shares of a par value of US$0.0005 each at a ratio of twenty (20)-for-one (1) (the “Share Consolidation”) whereby each 20 issued Ordinary Shares of a par value of US$0.000025 each be consolidated into one issued ordinary share of a par value of US$0.0005 each and each 20 authorized but unissued Ordinary Shares of a par value of US$0.000025 each be consolidated into one authorized but unissued ordinary share of a par value of US$0.0005 each. Following such Share Consolidation, the authorized share capital of the Company will be altered from US$50,000 divided into 2,000,000,000 Ordinary Shares of a par value of US$0.000025 each, comprising (i) 1,900,000,000 Class A Ordinary Shares of a par value of US$0.000025 each and (ii) 100,000,000 Class B ordinary Shares of a par value of US$0.000025 each, to US$50,000 divided into 100,000,000 ordinary shares of a par value of US$0.0005 each, comprising (i) 95,000,000 Class A ordinary shares of a par value of US$0.0005 each and (ii) 5,000,000 Class B ordinary shares of a par value of US$0.0005 each. The Share Consolidation is subject to the approval of the Board of Directors, which may, in its sole discretion, determine the exact effective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65" w:name="page166"/>
    <w:bookmarkEnd w:id="16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Bank Loans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2026, Jilin Zhengye entered into a loan agreement with Industrial Bank Jilin Branch, pursuant to which Jilin Zhengye obtained a loan in the amount of RMB4,990 (US$714) with a term from January 7, 2026 to January 6, 2027, at a fixed interest rate of 4.10%.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2026, Jilin Zhengye entered into a loan agreement with Industrial Bank Jilin Branch, pursuant to which Jilin Zhengye obtained a loan in the amount of RMB5,010 (US$716) with a term from January 7, 2026 to January 6, 2027, at a fixed interest rate of 4.10%.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9, 2026, Jilin Zhengye entered into a loan agreement with China Minsheng Bank Jilin Branch, pursuant to which Jilin Zhengye obtained a loan in the amount of RMB3,000 (US$429) with a term from February 9, 2026 to February 9, 2027, at a fixed interest rate of 3.50%.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2026, Jilin Zhengye entered into a loan agreement with China Minsheng Bank Jilin Branch, pursuant to which Jilin Zhengye obtained a loan in the amount of RMB2,010 (US$287) with a term from March 6, 2026 to March 6, 2027, at a fixed interest rate of 3.50%.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2026, Jilin Zhengye entered into a loan agreement with Bank of Jilin, pursuant to which Jilin Zhengye obtained a loan in the amount of RMB9,900 (US$1,416) with a term from March 23, 2026 to March 16, 2027, at a fixed interest rate of 3.50%.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2026, Jilin Zhengye entered into a loan agreement with Industrial Bank Jilin Branch, pursuant to which Jilin Zhengye obtained a loan in the amount of RMB21,900 (US$3,132) with a term from March 23, 2026 to March 22, 2027, at a fixed interest rate of 4.20%.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2026, Jilin Zhengye followed the loan agreement and repaid RMB3,000 (US$429) to China Minsheng Bank Jilin Branch with an interest rate of 3.85%.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2026, Jilin Zhengye followed the loan agreement and repaid RMB2,010 (US$287) to China Minsheng Bank Jilin Branch with an interest rate of 3.85%.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2026, Jilin Zhengye followed the loan agreement and repaid RMB5,000 (US$715) to Industrial Bank Jilin Branch with an interest rate of 4.20%.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21, 2026, Jilin Zhengye followed the loan agreement and repaid RMB100 (US$14) to Industrial Bank Jilin Branch with a fixed interest rate 4.00%.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23, 2026, Jilin Zhengye followed the loan agreement and repaid RMB21,900 (US$3,132) to Industrial Bank Jilin Branch with an interest rate of 4.20%.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23, 2026, Jilin Zhengye followed the loan agreement and repaid RMB10,000 (US$1,430) to Bank of Jilin with an interest rate of 3.85%.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CONDENSED FINANCIAL INFORMATION OF THE PARENT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Regulation S-X requires the condensed financial information of registrant shall be filed when the restricted net assets of consolidated subsidiaries exceed 25 percent of consolidated net assets as of the end of the most recently completed fiscal year. For purposes of the above test, restricted net assets of consolidated subsidiaries shall mean that amount of the registrant’s proportionate share of net assets of consolidated subsidiaries (after intercompany eliminations) of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I of Regulation S-X as the restricted net assets of the Company’s PRC subsidiaries exceed 25% of the consolidated net assets of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conformity with U.S. GAAP have been condensed or omitted. The Company’s investment in subsidiary is stated at cost plus equity in undistributed earnings of subsidiaries.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 of income of subsidiaries on the Condensed Balance Sheets is comprised of the Parent Company’s net investment in its subsidiaries under the equity method of accounting.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CONDENSED FINANCIAL INFORMATION OF THE PARENT COMPANY </w:t>
      </w:r>
      <w:r>
        <w:rPr>
          <w:rFonts w:ascii="Times New Roman" w:cs="Times New Roman" w:eastAsia="Times New Roman" w:hAnsi="Times New Roman"/>
          <w:sz w:val="18"/>
          <w:szCs w:val="18"/>
          <w:color w:val="auto"/>
        </w:rPr>
        <w:t>(cont.)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mentioned in Note 15, effective June 6, 2024, with the approval of the shareholders, the Company executed a forward stock split of its issued and unissued ordinary shares at a ratio of four-for-one. Each of the pre-split shares with a par value of $0.0001 has been converted into four post-split shares with a par value of $0.000025 per share. As a result of the stock split, the authorized share capital of the Company has become 2,000,000,000 shares with a par value of $0.000025 per share.</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24, 2026, the shareholders of the Company adopted certain resolutions to approve the Share Reclassification. As a result, all of the issued and unissued ordinary shares of a par value of US$0.000025 each in the capital of the Company were re-designated and reclassified in the following manner: (i) that 40,000,000 issued ordinary shares of a par value of US$0.000025 each held by Securingium Holding Limited were re-designated and reclassified as 40,000,000 Class B ordinary shares of a par value of US$0.000025 each; (ii) that each remaining issued ordinary share of a par value of US$0.000025 each was re-designated and reclassified as one issued Class A ordinary share of a par value of US$0.000025 each; (iii) that 60,000,000 authorized but unissued ordinary shares of a par value of US$0.000025 each were re-designated and reclassified as 60,000,000 authorized but unissued Class B ordinary shares of a par value of US$0.000025 each; (iv) that each remaining authorized but unissued ordinary share of a par value of US$0.000025 each was re-designated and reclassified as one authorized but unissued Class A ordinary share of a par value of US$0.000025 each; and (v) that, as a consequence of the Share Reclassification, the authorized share capital of the Company was altered from US$50,000 divided into 2,000,000,000 ordinary shares of a nominal or par value of US$0.000025 each, to US$50,000 divided into 2,000,000,000 ordinary shares of a par value of US$0.000025 each, comprising (1) 1,900,000,000 Class A ordinary shares of a par value of US$0.000025 each and (2) 100,000,000 Class B ordinary shares of a par value of US$0.000025 each. The above Share Reclassification is part of the Company’s recapitalization, which was accounted for on a retroactively basis as if the transaction occurred at the beginning of the period presented pursuant to ASC 260. All Class A ordinary shares and Class B ordinary shares and per share data for all periods have been retroactively restated accordingly.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15,627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283,952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23,392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IPO expenses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286,523</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239,918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subsidiaries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(US$0.000025 par value; 1,900,000,000 shares authorized; 5,666,376 and</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7,391,376 shares issued and outstanding as of December 31, 2024 and 2025, respectively)*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(US$0.000025 par value; 100,000,000 shares authorized; 40,000,000 and</w:t>
            </w: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40,000,000shares issued and outstanding as of December 31, 2024 and 2025, respectively)*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203,150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240,752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32,647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48,151</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283,959</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249,848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460" w:right="2760" w:hanging="5452"/>
        <w:spacing w:after="0" w:line="532" w:lineRule="auto"/>
        <w:tabs>
          <w:tab w:leader="none" w:pos="33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share reclassification was retroactively restated with effective date of March 24, 2026.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8" w:gutter="0" w:footer="0" w:header="0"/>
        </w:sectPr>
      </w:pPr>
    </w:p>
    <w:bookmarkStart w:id="167" w:name="page168"/>
    <w:bookmarkEnd w:id="16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CONDENSED FINANCIAL INFORMATION OF THE PARENT COMPANY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 (loss)</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120" w:type="dxa"/>
            <w:vAlign w:val="bottom"/>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31,457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31,457</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(9,982)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F-35</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8" w:name="page169"/>
    <w:bookmarkEnd w:id="16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ZHENGYE BIOTECHNOLOGY HOLDING LIMITED NOTES TO THE CONSOLIDATED FINANCIAL STATEMENTS (Amounts in thousands of RMB and US$, except for number of shares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CONDENSED FINANCIAL INFORMATION OF THE PARENT COMPANY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operating</w:t>
            </w: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subsidiary</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Equity in of subsidiaries</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(31,457)</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(11,313)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shareholder</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IPO expenses</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6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43,080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year</w:t>
            </w:r>
          </w:p>
        </w:tc>
        <w:tc>
          <w:tcPr>
            <w:tcW w:w="6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6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F-36</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24 March 2026 and effective on 24 March 2026)</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Zhengye Biotechnology Holding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the offices of ICS Corporate Services (Cayman) Limited, Palm Grove Unit 4, 265 Smith Road, George Town, P.O. Box 52A Edgewater Way, #1653, Grand Cayman KY1-9006, Cayman Islands, or at such other location within the Cayman Islands as the Directors may from time to time determine.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 divided into 2,000,000,000 ordinary shares of a par value of US$0.000025 each, comprising (a) 1,900,000,000 class A ordinary shares of a par value of US$0.000025 each and (b) 100,000,000 class B ordinary shares of a par value of US$0.000025 each.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9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meanings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by a Special Resolution passed on 24 March 2026 and effective on 24 March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2"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whether by blood, marriage or adoption,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86"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these articles of association of the Company, as amended, restated and/or substituted from time to time;</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 Directors”</w:t>
      </w:r>
      <w:r>
        <w:rPr>
          <w:sz w:val="20"/>
          <w:szCs w:val="20"/>
          <w:color w:val="auto"/>
        </w:rPr>
        <w:tab/>
      </w:r>
      <w:r>
        <w:rPr>
          <w:rFonts w:ascii="Times New Roman" w:cs="Times New Roman" w:eastAsia="Times New Roman" w:hAnsi="Times New Roman"/>
          <w:sz w:val="18"/>
          <w:szCs w:val="18"/>
          <w:color w:val="auto"/>
        </w:rPr>
        <w:t>means the directors of the Company for the time being, or as the case may be, the directors assembled as a board or</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7"/>
          <w:szCs w:val="17"/>
          <w:color w:val="auto"/>
        </w:rPr>
        <w:t>as a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280035</wp:posOffset>
            </wp:positionV>
            <wp:extent cx="1002665" cy="12001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chairman of the Board of Directors;</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or “Classes”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any class or classes of Shares as may from time to time be issued by the Company;</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an ordinary share of an amount fixed by the Memorandum of Association in the capital of the Company, designated as a Class A Ordinary Share and having the rights provided for in these Articles;</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B Ordinary Share”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 ordinary share of an amount fixed by the Memorandum of Association in the capital of the Company, designated as a Class B Ordinary Share and having the rights provided for in these Articles;</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 for the time being administering the Securities Act;</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“Communication Facilities”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video, video-conferencing, internet or online conferencing applications, telephone or tele-conferencing and/or any other video- communications, internet or online conferencing application or telecommunications facilities by means of which all Persons participating in a meeting are capable of hearing and being heard by each other;</w:t>
      </w:r>
    </w:p>
    <w:p>
      <w:pPr>
        <w:spacing w:after="0" w:line="172" w:lineRule="exact"/>
        <w:rPr>
          <w:sz w:val="20"/>
          <w:szCs w:val="20"/>
          <w:color w:val="auto"/>
        </w:rPr>
      </w:pPr>
    </w:p>
    <w:p>
      <w:pPr>
        <w:sectPr>
          <w:pgSz w:w="11900" w:h="16838" w:orient="portrait"/>
          <w:cols w:equalWidth="0" w:num="2">
            <w:col w:w="2160" w:space="66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color w:val="auto"/>
        </w:rPr>
        <w:t>means Zhengye Biotechnology Holding Limited, a Cayman Islands exempted company;</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Act”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Companies Act (Revised) of the Cayman Islands and any statutory amendment or re-enactment thereof;</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“Company’s Website”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the main corporate/investor relations website of the Company, the address or domain name of which has been disclosed in any registration statement filed by the Company with the Commission in connection with its initial public offering of the Class A Ordinary Shares, or which has otherwise been notified to Shareholders;</w:t>
      </w:r>
    </w:p>
    <w:p>
      <w:pPr>
        <w:spacing w:after="0" w:line="172"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“Designated Person”</w:t>
      </w:r>
      <w:r>
        <w:rPr>
          <w:sz w:val="20"/>
          <w:szCs w:val="20"/>
          <w:color w:val="auto"/>
        </w:rPr>
        <w:tab/>
      </w:r>
      <w:r>
        <w:rPr>
          <w:rFonts w:ascii="Times New Roman" w:cs="Times New Roman" w:eastAsia="Times New Roman" w:hAnsi="Times New Roman"/>
          <w:sz w:val="17"/>
          <w:szCs w:val="17"/>
          <w:color w:val="auto"/>
        </w:rPr>
        <w:t>means Zhenfa Han, a citizen of the People’s Republic of China.</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“Designated Stock Exchange”</w:t>
      </w:r>
      <w:r>
        <w:rPr>
          <w:sz w:val="20"/>
          <w:szCs w:val="20"/>
          <w:color w:val="auto"/>
        </w:rPr>
        <w:tab/>
      </w:r>
      <w:r>
        <w:rPr>
          <w:rFonts w:ascii="Times New Roman" w:cs="Times New Roman" w:eastAsia="Times New Roman" w:hAnsi="Times New Roman"/>
          <w:sz w:val="17"/>
          <w:szCs w:val="17"/>
          <w:color w:val="auto"/>
        </w:rPr>
        <w:t>means the stock exchange in the United States on which any Shares are listed for trading;</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 original</w:t>
      </w:r>
    </w:p>
    <w:p>
      <w:pPr>
        <w:spacing w:after="0" w:line="200" w:lineRule="exact"/>
        <w:rPr>
          <w:sz w:val="20"/>
          <w:szCs w:val="20"/>
          <w:color w:val="auto"/>
        </w:rPr>
      </w:pPr>
    </w:p>
    <w:p>
      <w:pPr>
        <w:spacing w:after="0" w:line="2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and continued listing of any Shares on the Designated Stock Exchange;</w:t>
      </w:r>
    </w:p>
    <w:p>
      <w:pPr>
        <w:sectPr>
          <w:pgSz w:w="11900" w:h="16838" w:orient="portrait"/>
          <w:cols w:equalWidth="0" w:num="1">
            <w:col w:w="11240"/>
          </w:cols>
          <w:pgMar w:left="320" w:top="90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re-enactments thereof for the time being in force and includes every other law incorporated therewith or substituted therefor;</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communication”</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 transmission to any number, address or internet website (including the website of the Commission) or other electronic delivery methods as otherwise decided and approved by not less than a majority of the vote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260350</wp:posOffset>
            </wp:positionV>
            <wp:extent cx="1002665" cy="1200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60"/>
            <w:col w:w="84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auto"/>
        </w:rPr>
        <w:t>“electronic record”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re-enactments thereof for the time being in force and includes every other law incorporated therewith or substituted therefor;</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 Act”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Electronic Transactions Act (Revised) of the Cayman Islands and any statutory amendment or re-enactment thereof;</w:t>
      </w:r>
    </w:p>
    <w:p>
      <w:pPr>
        <w:spacing w:after="0" w:line="158" w:lineRule="exact"/>
        <w:rPr>
          <w:sz w:val="20"/>
          <w:szCs w:val="20"/>
          <w:color w:val="auto"/>
        </w:rPr>
      </w:pPr>
    </w:p>
    <w:p>
      <w:pPr>
        <w:sectPr>
          <w:pgSz w:w="11900" w:h="16838" w:orient="portrait"/>
          <w:cols w:equalWidth="0" w:num="2">
            <w:col w:w="2320" w:space="50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memorandum of association of the Company, as amended or substituted from time to time;</w:t>
      </w:r>
    </w:p>
    <w:p>
      <w:pPr>
        <w:spacing w:after="0" w:line="207" w:lineRule="exact"/>
        <w:rPr>
          <w:sz w:val="20"/>
          <w:szCs w:val="20"/>
          <w:color w:val="auto"/>
        </w:rPr>
      </w:pPr>
    </w:p>
    <w:p>
      <w:pPr>
        <w:sectPr>
          <w:pgSz w:w="11900" w:h="16838" w:orient="portrait"/>
          <w:cols w:equalWidth="0" w:num="2">
            <w:col w:w="2420" w:space="400"/>
            <w:col w:w="84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resolution:</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9" w:lineRule="exact"/>
        <w:rPr>
          <w:sz w:val="20"/>
          <w:szCs w:val="20"/>
          <w:color w:val="auto"/>
        </w:rPr>
      </w:pPr>
    </w:p>
    <w:p>
      <w:pPr>
        <w:jc w:val="both"/>
        <w:ind w:left="3140" w:hanging="323"/>
        <w:spacing w:after="0" w:line="261" w:lineRule="auto"/>
        <w:rPr>
          <w:sz w:val="20"/>
          <w:szCs w:val="20"/>
          <w:color w:val="auto"/>
        </w:rPr>
      </w:pPr>
      <w:r>
        <w:rPr>
          <w:rFonts w:ascii="Times New Roman" w:cs="Times New Roman" w:eastAsia="Times New Roman" w:hAnsi="Times New Roman"/>
          <w:sz w:val="18"/>
          <w:szCs w:val="18"/>
          <w:color w:val="auto"/>
        </w:rPr>
        <w:t>(a) passed by a simple majority of the votes cast by such Shareholders as, being entitled to do so, vote in person or, where proxies are allowed, by proxy or, in the case of corporations, by their duly authorised representatives, at a general meeting of the Company held in accordance with these Articles (in computing the majority regard shall be had to the number of votes to which each Shareholder is entitled by these Articles); or</w:t>
      </w:r>
    </w:p>
    <w:p>
      <w:pPr>
        <w:spacing w:after="0" w:line="180" w:lineRule="exact"/>
        <w:rPr>
          <w:sz w:val="20"/>
          <w:szCs w:val="20"/>
          <w:color w:val="auto"/>
        </w:rPr>
      </w:pPr>
    </w:p>
    <w:p>
      <w:pPr>
        <w:jc w:val="both"/>
        <w:ind w:left="3140" w:hanging="323"/>
        <w:spacing w:after="0" w:line="266" w:lineRule="auto"/>
        <w:tabs>
          <w:tab w:leader="none" w:pos="3120" w:val="left"/>
        </w:tabs>
        <w:rPr>
          <w:sz w:val="20"/>
          <w:szCs w:val="20"/>
          <w:color w:val="auto"/>
        </w:rPr>
      </w:pPr>
      <w:r>
        <w:rPr>
          <w:rFonts w:ascii="Times New Roman" w:cs="Times New Roman" w:eastAsia="Times New Roman" w:hAnsi="Times New Roman"/>
          <w:sz w:val="18"/>
          <w:szCs w:val="18"/>
          <w:color w:val="auto"/>
        </w:rPr>
        <w:t>(b)</w:t>
        <w:tab/>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p>
      <w:pPr>
        <w:sectPr>
          <w:pgSz w:w="11900" w:h="16838" w:orient="portrait"/>
          <w:cols w:equalWidth="0" w:num="1">
            <w:col w:w="11240"/>
          </w:cols>
          <w:pgMar w:left="320" w:top="900"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Class A Ordinary Share or a Class B Ordinary Share;</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“paid up”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paid up as to the par value in respect of the issue of any Shares and includes credited as paid up;</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 (whether or not having a separate legal personality) or any of them as the context so requires;</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“Present”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 of Shareholders (or any meeting of the holders of any Class of Shares), which may be satisfied by means of such Person or, if a corporation or other non-natural Person, its duly authorised representative (or, in the case of any Shareholder, a proxy which has been validly appointed by such Shareholder in accordance with these Articles), being: (a) physically present at the meeting; or (b) in the case of any meeting at which Communication Facilities are permitted in accordance with these Articles, including any Virtual Meeting, connected by means of the use of such Communication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267970</wp:posOffset>
            </wp:positionV>
            <wp:extent cx="1002665" cy="12001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0" w:lineRule="exact"/>
        <w:rPr>
          <w:sz w:val="20"/>
          <w:szCs w:val="20"/>
          <w:color w:val="auto"/>
        </w:rPr>
      </w:pPr>
      <w:r>
        <w:rPr>
          <w:sz w:val="20"/>
          <w:szCs w:val="20"/>
          <w:color w:val="auto"/>
        </w:rPr>
        <w:br w:type="column"/>
      </w:r>
    </w:p>
    <w:p>
      <w:pPr>
        <w:ind w:right="2760"/>
        <w:spacing w:after="0" w:line="282" w:lineRule="auto"/>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registered office of the Company as required by the Companies Act;</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 federal statute and the rules and regulations of the Commission thereunder, all as the same shall be in effect at the time;</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172"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Premium Account”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share premium account established in accordance with these Articles and the Companies Act;</w:t>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special resolution of the Company passed in accordance with the Companies Act, being a resolution:</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9" w:lineRule="exact"/>
        <w:rPr>
          <w:sz w:val="20"/>
          <w:szCs w:val="20"/>
          <w:color w:val="auto"/>
        </w:rPr>
      </w:pPr>
    </w:p>
    <w:p>
      <w:pPr>
        <w:jc w:val="both"/>
        <w:ind w:left="3460" w:hanging="321"/>
        <w:spacing w:after="0" w:line="261" w:lineRule="auto"/>
        <w:rPr>
          <w:sz w:val="20"/>
          <w:szCs w:val="20"/>
          <w:color w:val="auto"/>
        </w:rPr>
      </w:pPr>
      <w:r>
        <w:rPr>
          <w:rFonts w:ascii="Times New Roman" w:cs="Times New Roman" w:eastAsia="Times New Roman" w:hAnsi="Times New Roman"/>
          <w:sz w:val="18"/>
          <w:szCs w:val="18"/>
          <w:color w:val="auto"/>
        </w:rPr>
        <w:t>(a) passed by not less than two-thirds of the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p>
      <w:pPr>
        <w:spacing w:after="0" w:line="180" w:lineRule="exact"/>
        <w:rPr>
          <w:sz w:val="20"/>
          <w:szCs w:val="20"/>
          <w:color w:val="auto"/>
        </w:rPr>
      </w:pPr>
    </w:p>
    <w:p>
      <w:pPr>
        <w:jc w:val="both"/>
        <w:ind w:left="3460" w:hanging="323"/>
        <w:spacing w:after="0" w:line="261" w:lineRule="auto"/>
        <w:tabs>
          <w:tab w:leader="none" w:pos="3440" w:val="left"/>
        </w:tabs>
        <w:rPr>
          <w:sz w:val="20"/>
          <w:szCs w:val="20"/>
          <w:color w:val="auto"/>
        </w:rPr>
      </w:pPr>
      <w:r>
        <w:rPr>
          <w:rFonts w:ascii="Times New Roman" w:cs="Times New Roman" w:eastAsia="Times New Roman" w:hAnsi="Times New Roman"/>
          <w:sz w:val="18"/>
          <w:szCs w:val="18"/>
          <w:color w:val="auto"/>
        </w:rPr>
        <w:t>(b)</w:t>
        <w:tab/>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ectPr>
          <w:pgSz w:w="11900" w:h="16838" w:orient="portrait"/>
          <w:cols w:equalWidth="0" w:num="1">
            <w:col w:w="11240"/>
          </w:cols>
          <w:pgMar w:left="320" w:top="900"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299085</wp:posOffset>
            </wp:positionV>
            <wp:extent cx="1002665" cy="12001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United States of America, its territories, its possessions and all areas subject to its jurisdiction; and</w:t>
      </w:r>
    </w:p>
    <w:p>
      <w:pPr>
        <w:spacing w:after="0" w:line="207"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 Shares) at which the Shareholders (and any other permitted participants of such meeting, including without limitation the chairman of the meeting and any Directors) are permitted to attend and participate solely by means of Communication Facilities.</w:t>
      </w:r>
    </w:p>
    <w:p>
      <w:pPr>
        <w:spacing w:after="0" w:line="176"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or “in particular” or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hanging="652"/>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where applicable the Designated Stock Exchange Rules, all Shares for the time being unissued shall be under the control of the Directors who may, in their absolute discretion and without the approval of the Shareholders, cause the Company 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or otherwise dispose of Shares (including, without limitation, preferred shares) (whether in certificated form or non-certificated form) to such Persons, in such manner, at such times and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 at such times and on such terms and having such rights and being subject to such restrictions as they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both"/>
        <w:ind w:left="652" w:hanging="652"/>
        <w:spacing w:after="0" w:line="254" w:lineRule="auto"/>
        <w:tabs>
          <w:tab w:leader="none" w:pos="6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authorised share capital of the Company, series of preferred shares in their absolute discretion and without approval of the Shareholders; provided, however, before any preferred shares of any such series are issued, the Directors may by resolution of Directors determine, with respect to any series of preferred shares, the terms and rights of that series, including:</w:t>
      </w:r>
    </w:p>
    <w:p>
      <w:pPr>
        <w:spacing w:after="0" w:line="19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251460</wp:posOffset>
            </wp:positionV>
            <wp:extent cx="1002665" cy="1200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7" w:name="page178"/>
    <w:bookmarkEnd w:id="177"/>
    <w:p>
      <w:pPr>
        <w:jc w:val="both"/>
        <w:ind w:left="1292" w:hanging="644"/>
        <w:spacing w:after="0" w:line="266" w:lineRule="auto"/>
        <w:tabs>
          <w:tab w:leader="none" w:pos="129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 and, for such purposes, the Directors may reserve an appropriate number of Shares for the time being unissued. The Company shall not issue Shares to bearer.</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28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Shareholders. 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of each relevant Class B Ordinary Share as a Class A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B Ordinary Shares as Class A Ordinary Shares.</w:t>
      </w:r>
    </w:p>
    <w:p>
      <w:pPr>
        <w:spacing w:after="0" w:line="187"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any Class B Ordinary Share by a Shareholder to any person who is not the Designated Person or an Affiliate of the Designated Person, or upon a change of ultimate beneficial ownership of any Class B Ordinary Share to any Person who is not the Designated Person or an Affiliate of the Designated Person, such Class B Ordinary Share shall be automatically and immediately converted into the same number of Class A Ordinary Share. For the avoidance of doubt, (i) where a sale, transfer, assignment or disposition involves a change to the legal title to Class B Ordinary Shares, it shall be effective upon the Company’s registration of such sale, transfer, assignment or disposition in its Register, and where a sale, transfer, assignment or disposition involves a change to the ultimate beneficial ownership or there is otherwise no change to the legal title to Class B Ordinary Shares, it shall be deemed effective at the time of the change, as determined in good faith by the Directors in their sole discretion; and (ii) the creation of any pledge, charge, encumbrance or other third party right of whatever description on any Class B Ordinary Shares to secure a holder’s contractual or legal obligations shall not be deemed as a sale, transfer, assignment or disposition, or a change of ultimate beneficial ownership,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the purposes of this Article 15, beneficial ownership shall have the meaning set forth in Rule 13d-3 under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267970</wp:posOffset>
            </wp:positionV>
            <wp:extent cx="1002665" cy="1200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8" w:name="page179"/>
    <w:bookmarkEnd w:id="178"/>
    <w:p>
      <w:pPr>
        <w:ind w:left="660" w:right="2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15 (inclusive), the Class A Ordinary Shares and the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capital of the Company is divided into different Classes the rights attached to any such Class may, subject to any rights or restrictions for the time being attached to any Class, only be materially and adversely varied with the consent in writing of the holders of two-thirds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267970</wp:posOffset>
            </wp:positionV>
            <wp:extent cx="1002665" cy="1200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such legends as may be required under applicable laws, including the Securities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 shall be issued representing shares of more than one class.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Shareholder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to issue more than one certificate for Shares held jointly by more than one person. 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12001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left="66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Shareholder paying such sum to any portion of a dividend declared in respect of any period prior to the date upon which such sum would, but for such payment, become presently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267970</wp:posOffset>
            </wp:positionV>
            <wp:extent cx="1002665" cy="12001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Subject to these Articles, any Shareholder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268605</wp:posOffset>
            </wp:positionV>
            <wp:extent cx="1002665" cy="12001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1300" w:hanging="644"/>
        <w:spacing w:after="0" w:line="282"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Shares which is not fully paid up or on which the Company has a lien.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after compliance with any notice required by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two calendar months after the date on which the transfer was lodged with the Company send notice of the refusal to each of the transferor and the transferee.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260350</wp:posOffset>
            </wp:positionV>
            <wp:extent cx="1002665" cy="12001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left="660" w:hanging="652"/>
        <w:spacing w:after="0" w:line="258"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 and with such rights, priorities and privileges annexed thereto, as the Company in general meeting may determine.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appropriate;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authorised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268605</wp:posOffset>
            </wp:positionV>
            <wp:extent cx="1002665" cy="1200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left="1300" w:hanging="644"/>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of Association,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 The Board may settle as it considers expedient any difficulty which arises in relation to any consolidation and division under the preceding Article and in particular but without prejudice to the generality of the foregoing may arrange for the sale of the shares representing fractions and the distribution of the net proceeds of sale (after deduction of the expenses of such sale) in due proportion amongst the Shareholders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9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the Board;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are otherwise authorised by these Articles;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660" w:hanging="652"/>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5300" w:right="3120" w:hanging="5292"/>
        <w:spacing w:after="0" w:line="500" w:lineRule="auto"/>
        <w:tabs>
          <w:tab w:leader="none" w:pos="6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 62.</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pacing w:after="0" w:line="225" w:lineRule="exact"/>
        <w:rPr>
          <w:sz w:val="20"/>
          <w:szCs w:val="20"/>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or a majority of the Directors (acting by a resolution of the Board)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Shareholders holding at the date of deposit of the requisition Shares which carry in aggregate not less than one-tenth (1/10) of the total number of votes attaching to all issued and outstanding Shares that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(21)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128270</wp:posOffset>
            </wp:positionV>
            <wp:extent cx="1002665" cy="12001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1300" w:right="2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clear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holders of two-thirds of the Shareholders having a right to attend and vote at the meeting Present or, in the case of a corporation or other non-natural person, represented by its duly authorised representative or proxy.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a majority of all votes attaching to all Shares in issue and entitled to vote at such general meeting Present shall be a quorum for all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utilised (including any Virtual Meeting) must disclose the Communication Facilities that will be used, including the procedures to be followed by any Shareholder or other participant of the meeting who wishes to utilise such Communication Facilities for the purposes of attending and participating in such meeting, including attending and casting any vote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267970</wp:posOffset>
            </wp:positionV>
            <wp:extent cx="1002665" cy="1200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left="652" w:hanging="652"/>
        <w:spacing w:after="0" w:line="261"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shall preside as chairman at every general meeting of the Company. If there is no such Chairman, or if at any general meeting he is not Present within fifteen minutes after the time appointed for holding the meeting or is unwilling to act as chairman of the meeting, any Director or Person nominated by the Directors shall preside as chairman of that meeting, failing which the Shareholders Present shall choose any Person Present to be chairman of that meeting.</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shall be entitled to attend and participate at any such general meeting by means of Communication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at which a quorum is Present may with the consent of the meeting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by poll.</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shall be deemed to be the resolution of the meeting.</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the chairman of the meeting shall be entitled to a second or casting vote.</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every Shareholder Present in person or represented by its duly authorised representative or proxy shall have one (1) vote for each Class A Ordinary Share and twenty (20) votes for each Class B Ordinary Share of which such Shareholder is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260350</wp:posOffset>
            </wp:positionV>
            <wp:extent cx="1002665" cy="12001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8" w:name="page189"/>
    <w:bookmarkEnd w:id="188"/>
    <w:p>
      <w:pPr>
        <w:jc w:val="both"/>
        <w:ind w:left="66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by his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recognised clearing house (or its nominee(s)) or depositary (or its nominee(s)), may only appoint one proxy.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 not less than 48 hours before the time for holding the meeting or adjourned meeting at which the person named in the instrument proposes to vote, 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discretion direct that an instrument of proxy shall be deemed to have been duly deposited. An instrument of proxy that is not deposited in the manner permitted shall be invalid.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12001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Shareholder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Shareholder holding the number and Class of Shares specified in such authorisation, including the right to vote individually.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87.</w:t>
      </w:r>
    </w:p>
    <w:p>
      <w:pPr>
        <w:spacing w:after="0" w:line="225" w:lineRule="exact"/>
        <w:rPr>
          <w:sz w:val="20"/>
          <w:szCs w:val="20"/>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two (2)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Board.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Any Director whose term of office expires shall be eligible for re-election at a meeting of the Shareholders or re-appointment by the Board.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an Ordinary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an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267970</wp:posOffset>
            </wp:positionV>
            <wp:extent cx="1002665" cy="12001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both"/>
        <w:ind w:left="660" w:right="20" w:hanging="652"/>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Shareholder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72"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71" w:lineRule="exact"/>
        <w:rPr>
          <w:rFonts w:ascii="Times New Roman" w:cs="Times New Roman" w:eastAsia="Times New Roman" w:hAnsi="Times New Roman"/>
          <w:sz w:val="17"/>
          <w:szCs w:val="17"/>
          <w:color w:val="auto"/>
        </w:rPr>
      </w:pPr>
    </w:p>
    <w:p>
      <w:pPr>
        <w:jc w:val="both"/>
        <w:ind w:left="660" w:hanging="652"/>
        <w:spacing w:after="0" w:line="258"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265430</wp:posOffset>
            </wp:positionV>
            <wp:extent cx="1002665" cy="12001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p>
      <w:pPr>
        <w:jc w:val="both"/>
        <w:ind w:left="66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268605</wp:posOffset>
            </wp:positionV>
            <wp:extent cx="1002665" cy="1200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left="66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resolves that his office be vacated;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of the meeting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presence of two (2) Directors then in office shall constitute a quorum.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270510</wp:posOffset>
            </wp:positionV>
            <wp:extent cx="1002665" cy="12001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left="652" w:hanging="652"/>
        <w:spacing w:after="0" w:line="254"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265430</wp:posOffset>
            </wp:positionV>
            <wp:extent cx="1002665" cy="12001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5" w:name="page196"/>
    <w:bookmarkEnd w:id="195"/>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265430</wp:posOffset>
            </wp:positionV>
            <wp:extent cx="1002665" cy="12001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left="660" w:hanging="652"/>
        <w:spacing w:after="0" w:line="258"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provided that the Shareholders shall receive the annual audited financial statements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12001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left="66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Shareholders.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ind w:left="1300" w:right="20" w:hanging="644"/>
        <w:spacing w:after="0" w:line="282"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251460</wp:posOffset>
            </wp:positionV>
            <wp:extent cx="1002665" cy="12001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1300" w:hanging="64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Shareholders;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Shareholders.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268605</wp:posOffset>
            </wp:positionV>
            <wp:extent cx="1002665" cy="1200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52" w:hanging="652"/>
        <w:spacing w:after="0"/>
        <w:tabs>
          <w:tab w:leader="none" w:pos="6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recognised courier service.</w:t>
      </w:r>
    </w:p>
    <w:p>
      <w:pPr>
        <w:spacing w:after="0" w:line="22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52" w:hanging="652"/>
        <w:spacing w:after="0" w:line="256" w:lineRule="auto"/>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251460</wp:posOffset>
            </wp:positionV>
            <wp:extent cx="1002665" cy="12001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0" w:name="page201"/>
    <w:bookmarkEnd w:id="200"/>
    <w:p>
      <w:pPr>
        <w:ind w:left="1292" w:hanging="644"/>
        <w:spacing w:after="0" w:line="282" w:lineRule="auto"/>
        <w:tabs>
          <w:tab w:leader="none" w:pos="12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Shareholder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Shareholders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Shareholders including, without limitation, information contained in the Register and transfer books of the Company.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52" w:hanging="652"/>
        <w:spacing w:after="0" w:line="253" w:lineRule="auto"/>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To the extent permissible under applicable laws, the Shareholders waive any claim or right of action that they may have, both individually and on the Company’s behalf, against any Director in relation to any action or failure to take action by such Director in the performance of his or her duties with or for the Company, except in respect of any dishonesty, willful default or fraud of such Director.</w:t>
      </w:r>
    </w:p>
    <w:p>
      <w:pPr>
        <w:spacing w:after="0" w:line="19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6129020</wp:posOffset>
            </wp:positionH>
            <wp:positionV relativeFrom="paragraph">
              <wp:posOffset>291465</wp:posOffset>
            </wp:positionV>
            <wp:extent cx="1002665" cy="12001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23"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1" w:name="page202"/>
    <w:bookmarkEnd w:id="201"/>
    <w:p>
      <w:pPr>
        <w:ind w:left="1300" w:hanging="64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31 December in each calendar year and shall begin on 1 January in each calendar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Shareholders in species or in kind the whole or any part of the assets of the Company (whether they shall consist of property of the same kind or not) and may for that purpose value any assets and determine how the division shall be carried out as between the Shareholders or different classes of Shareholders. The liquidator may, with the like sanction, vest the whole or any part of such assets in trustees upon such trusts for the benefit of the Shareholders as the liquidator, with the like sanction, shall think fit, but so that no Shareholder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268605</wp:posOffset>
            </wp:positionV>
            <wp:extent cx="1002665" cy="12001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260350</wp:posOffset>
            </wp:positionV>
            <wp:extent cx="1002665" cy="1200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10026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CERTIFICATE</w:t>
      </w:r>
    </w:p>
    <w:p>
      <w:pPr>
        <w:spacing w:after="0" w:line="229"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Number of certificate</w:t>
      </w:r>
      <w:r>
        <w:rPr>
          <w:sz w:val="20"/>
          <w:szCs w:val="20"/>
          <w:color w:val="auto"/>
        </w:rPr>
        <w:tab/>
      </w: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149465" cy="4457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494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Incorporated in the Cayman Islands under the Companies Act (as Revised)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 is US$50,000 divided into:</w:t>
      </w:r>
    </w:p>
    <w:p>
      <w:pPr>
        <w:spacing w:after="0" w:line="225"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1,900,000,000 Class A Ordinary Shares of a par value of US$0.000025 each; and</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100,000,000 Class B Ordinary Shares of a par value of US$0.000025 each.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to certify that [Name] of [Address] is the registered holder of [Number] [Share Class] shares of [Value] each being [partly paid to the extent of [amount in words] [amount in numerals] per share]]/[fully paid][and numbered [number]] in the above-named company, subject to the memorandum and articles of association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60"/>
        <w:spacing w:after="0"/>
        <w:tabs>
          <w:tab w:leader="none" w:pos="83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Director/Secretary</w:t>
      </w:r>
    </w:p>
    <w:p>
      <w:pPr>
        <w:sectPr>
          <w:pgSz w:w="11900" w:h="16838" w:orient="portrait"/>
          <w:cols w:equalWidth="0" w:num="1">
            <w:col w:w="11240"/>
          </w:cols>
          <w:pgMar w:left="320" w:top="11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ordinary shares, par value of US$0.000025 each (the “Class A Ordinary Shares”), of Zhengye Biotechnology Holding Limited (“we,” “our,” “our company,” or “us”) are listed and traded on the Nasdaq Capital Market and are registered under Section 12(b) of the Exchange Act. This exhibit contains a description of the rights of the holders of Class A Ordinary Shares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24, 2026, the Company held its annual general meeting of shareholders, at which meeting the shareholders approved the adoption of a dual-class share structure.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second amended and restated memorandum and articles of association currently in effect, as well as the Companies Act (Revised) of the Cayman Islands (the “Cayman Companies Act”) insofar as they relate to the material terms of our Ordinary Shares (defined below). Notwithstanding this, because it is a summary, it may not contain all the information that you may otherwise deem important. For more complete information, you should read the entirety of our second amended and restated memorandum and articles of association, which are being filed with the U.S. Securities and Exchange Commission (the “SEC”) as Exhibit 1.1 to our annual report on Form 20-F for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authorized share capital of the Company is US$50,000 divided into 2,000,000,000 ordinary shares, par value of US$0.000025 each, comprising (a) 1,900,000,000 Class A Ordinary Shares and (b) 100,000,000 Class B ordinary shares, par value of US$0.000025 each (the “Class B Ordinary Shares”, and together with the Class A Ordinary Shares, the “Ordinary Shares”). The number of Ordinary Shares that have been issued as of the last day of the financial year ended December 31, 2025 is provided on the cover of the annual report on Form 20-F filed on April 28, 2026 (the “2025 Form 20-F”). Our Ordinary Shares may be held in either certificated or uncertificated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Ordinary Shares do not have pre-emptive rights under the Cayman Companies Act or pursuant to our second amended and restated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Our Ordinary Shares are issued in registered form, and are issued when registered in our register of members. A Shareholder may only be entitled to a share certificate if the directors resolve that share certificates shall be issued. Our shareholders who are non-residents of the Cayman Islands may freely hold and vote their Ordinary Shares. We may not issue shares or warrants to bearer.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5" w:name="page206"/>
    <w:bookmarkEnd w:id="205"/>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Cayman Companies Act and our second amended and restated memorandum and articles of association regarding redemption and purchase of the shares, all shares for the time being unissued shall be under the control of the directors who may, in their absolute discretion and without the approval of the shareholders, cause the Company to: (a) issue, allot, or otherwise dispose of shares (including, without limitation, preferred shares) (whether in certificated form or non-certificated form) to such persons, in such manner, at such times and on such terms and having such rights and being subject to such restrictions as they may from time to time determine; (b) 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 (c) grant options with respect to shares and issue warrants or similar instruments with respect thereto, at such times and on such terms and having such rights and being subject to such restrictions as they may from time to time determine.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provide that 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 In addition, subject to any rights and restrictions for the time being attached to any shares, our shareholders may by ordinary resolution declare a dividend, but no dividend may exceed the amount recommended by our directors. Under the laws of the Cayman Islands, our Company may pay a dividend out of profit and/or share premium account; provided that in no circumstances may a dividend be paid out of our share premium if this would result in our Company being unable to pay its debts as they fall due in the ordinary course of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No dividend shall bear interest against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shareholders. 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 Votes may be given either personally or by proxy.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 All general meetings other than annual general meetings shall be called extraordinary general meetings.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chairman or a majority of the directors (acting by a resolution of the board) may call general meetings. General meetings shall also be convened on the written requisition of one or more of the shareholders holding at the date of deposit of the requisition shares which carry in aggregate not less than one-tenth (1/10) of the total number of votes attaching to all issued and outstanding shares that as at the date of the deposit carry the right to vote at general meetings of the Company, specifying the objects of the meeting and signed by each of the shareholders making the requisition and deposited at the registered office. 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those shareholders who requested the meeting or any of them representing more than one-half of the total voting rights of all of them may convene the general meeting themselves, but any meeting so convened shall not be held after the expiration of three calendar months after the expiration of the said twenty-one (21) calendar days.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spacing w:after="0" w:line="256" w:lineRule="auto"/>
        <w:rPr>
          <w:sz w:val="20"/>
          <w:szCs w:val="20"/>
          <w:color w:val="auto"/>
        </w:rPr>
      </w:pPr>
      <w:r>
        <w:rPr>
          <w:rFonts w:ascii="Times New Roman" w:cs="Times New Roman" w:eastAsia="Times New Roman" w:hAnsi="Times New Roman"/>
          <w:sz w:val="18"/>
          <w:szCs w:val="18"/>
          <w:color w:val="auto"/>
        </w:rPr>
        <w:t>At least ten (10) clear days’ notice shall be given for any general meeting. Every notice shall be exclusive of the day on which it is given or deemed to be given and of the day for which it is given and shall specify, among other things, the place, the day and the hour of the meeting and the general nature of the business. In addition, if a resolution is proposed as a special resolution, the notice specifying the intention to propose the resolution as a special resolution must be duly given. Notice of every general meeting shall be given to (a) all shareholders holding shares with the right to receive notice and who have supplied to the Company an address for the giving of notices to them; and (b) every person entitled to a share in consequence of the death or bankruptcy of a shareholder, who but for his death or bankruptcy would be entitled to receive notice of the meeting.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our second amended and restated memorandum and articles of association, a general meeting of the Company shall, whether or not the notice has been given and whether or not the provisions of our second amended and restated memorandum and articles of association regarding general meetings have been complied with, be deemed to have been duly convened if it is so agreed: (a) in the case of an annual general meeting, by all the shareholders (or their proxies) entitled to attend and vote thereat; and (b) in the case of an extraordinary general meeting, by holders of two-thirds of the shareholders having a right to attend and vote at the meeting present or, in the case of a corporation or other non-natural person, represented by its duly authorized representative or proxy.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quorum shall consist of the presence (whether in person or represented by proxy) of one or more shareholders holding shares which carry in aggregate (or representing by proxy) not less than a majority of all votes attaching to all shares in issue and entitled to vote at such general meeting.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 The chairman of any general meeting at which a quorum is present may with the consent of the meeting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chairman of any general meeting at which a quorum is present may with the consent of the meeting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by poll. In the case of an equality of votes, the chairman of the meeting shall be entitled to a second or casting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any applicable requirements set forth in our second amended and restated memorandum and articles of association and provided that a transfer of ordinary shares complies with applicable rules of the Nasdaq, any of our shareholders may transfer all or any of his or her ordinary shares by an instrument of transfer in the usual or common form or in a form prescribed by Nasdaq or in any other form approved by our board of directors,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transferor shall be deemed to remain a shareholder until the name of the transferee is entered in the register of members in respect of the relevant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the board of directors may from time to time require, is paid to us in respect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by the applicable rules of the Nasdaq, be suspended and our register of members closed at such times and for such periods as our board of directors may in their absolute discretion, from time to time determine, provided always that such registration of transfer shall not be suspended nor the register of members closed for more than thirty calendar days in any calendar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Cayman Companies Act, divide amongst the shareholders in species or in kind the whole or any part of the assets of the Company (whether they shall consist of property of the same kind or not) and may for that purpose value any assets and determine how the division shall be carried out as between the shareholders or different classes of shareholders. The liquidator may, with the like sanction, vest the whole or any part of such assets in trustees upon such trusts for the benefit of the shareholders as the liquidator, with the like sanction, shall think fit, but so that no shareholder shall be compelled to accept any asset upon which there is a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terms of allotment, our board of directors may from time to time make calls upon shareholders for any moneys unpaid on their shares, and each shareholder shall (subject to receiving at least fourteen calendar days’ notice specifying the time or times of payment) pay to the Company at the time or times so specified the amount called on such shares. The joint holders of a Share shall be jointly and severally liable to pay calls in respect thereof. 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The directors may make arrangements with respect to the issue of partly paid shares for a difference between the shareholders, or the particular shares, in the amount of calls to be paid and in the times of payment.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 or Surrender of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spacing w:after="0" w:line="266" w:lineRule="auto"/>
        <w:rPr>
          <w:sz w:val="20"/>
          <w:szCs w:val="20"/>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 A forfeited share may be sold or otherwise disposed of on such terms and in such manner as the directors think fit, and at any time before a sale or disposition the forfeiture may be cancelled on such terms as the directors think fit.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Premium Account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shall in accordance with the Cayman Companies Act establish a share premium account and shall carry to the credit of such account from time to time a sum equal to the amount or value of the premium paid on the issue of any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and Purchase of Own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Cayman Companies Act and our second amended and restated memorandum and articles of association, the Company may:</w:t>
      </w:r>
    </w:p>
    <w:p>
      <w:pPr>
        <w:spacing w:after="0" w:line="225" w:lineRule="exact"/>
        <w:rPr>
          <w:sz w:val="20"/>
          <w:szCs w:val="20"/>
          <w:color w:val="auto"/>
        </w:rPr>
      </w:pPr>
    </w:p>
    <w:p>
      <w:pPr>
        <w:ind w:left="660" w:hanging="328"/>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are otherwise authorised by our second amended and restated memorandum and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Cayman Companies Act, including out of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authorize our board of directors to issue additional Ordinary Shares from time to time as our board of directors shall determine, to the extent of available authorized but unissued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(save for the memorandum and articles of association, register of mortgages and charges, and the special resolutions passed by shareholders) or to obtain copies of the register of members of these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Cayman Islands law, the names of current directors of our Company can be obtained from a search conducted at the Registrar of Companies in the Cayman Islands.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second amended and restated memorandum and articles of association, our directors may from time to time determine whether and to what extent and at what times and places and under what conditions or regulations our accounts and books or any of them shall be open to the inspection of shareholders not being directors, and no shareholder (not being a director) shall have any right to inspect any of our account or book or document except as conferred by law or authorized by the directors, provided that the shareholders shall receive the annual audited financial statements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Whenever the capital of our Company is divided into different classes the rights attached to any such class may, subject to any rights or restrictions for the time being attached to any class, only be materially and adversely varied with the consent in writing of the holders of two-thirds of the issued shares of that class or with the sanction of a special resolution passed at a separate meeting of the holders of the shares of that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second amended and restated memorandum and articles of association on the rights of non-resident or foreign shareholders to hold or exercise voting rights on 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provisions of our second amended and restated memorandum and articles of association may discourage, delay, or prevent a change in control of our company or management that shareholders may consider favorable, including provisions that authorize our board of directors to issue shares at such times and on such terms and rights as the board of directors may decide without any further vote or action by our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Cayman Companies Act, our directors may only exercise the rights and powers granted to them under our second amended and restated memorandum and articles of association for what they believe in good faith to be in the best interests of our company and for a proper purpose.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provisions in our second amended and restated memorandum and articles of association governing the ownership threshold above which shareholder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45"/>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Title of Organizational Documents</w:t>
            </w:r>
          </w:p>
        </w:tc>
        <w:tc>
          <w:tcPr>
            <w:tcW w:w="160" w:type="dxa"/>
            <w:vAlign w:val="bottom"/>
          </w:tcPr>
          <w:p>
            <w:pPr>
              <w:spacing w:after="0"/>
              <w:rPr>
                <w:sz w:val="21"/>
                <w:szCs w:val="21"/>
                <w:color w:val="auto"/>
              </w:rPr>
            </w:pPr>
          </w:p>
        </w:tc>
        <w:tc>
          <w:tcPr>
            <w:tcW w:w="34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1"/>
                <w:szCs w:val="21"/>
                <w:color w:val="auto"/>
              </w:rPr>
            </w:pPr>
          </w:p>
        </w:tc>
        <w:tc>
          <w:tcPr>
            <w:tcW w:w="40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234"/>
        </w:trPr>
        <w:tc>
          <w:tcPr>
            <w:tcW w:w="34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0" w:type="dxa"/>
            <w:vAlign w:val="bottom"/>
          </w:tcPr>
          <w:p>
            <w:pPr>
              <w:spacing w:after="0"/>
              <w:rPr>
                <w:sz w:val="1"/>
                <w:szCs w:val="1"/>
                <w:color w:val="auto"/>
              </w:rPr>
            </w:pPr>
          </w:p>
        </w:tc>
      </w:tr>
      <w:tr>
        <w:trPr>
          <w:trHeight w:val="395"/>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Duties of Directors</w:t>
            </w: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 Delaware law, the business and affairs of</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 matter of Cayman Islands law, a director owes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corporation are managed by or under the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three types of duties to the company: (i) statutory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direction of its board of directors. In exercising</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duties, (ii) fiduciary duties, and (iii) common law</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their  powers,  directors  are  charged  with  a</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duties. The Cayman Companies Act imposes a number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fiduciary duty of care to protect the interests of</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statutory duties on a director. A Cayman Islands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corporation and a fiduciary duty of loyalty</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fiduciary duties are not codified, however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act in the best interests of its shareholders.</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courts of the Cayman Islands have held that a director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duty of care requires that directors act in an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owes the following fiduciary duties (a) a duty to act in</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informed and deliberative manner and inform</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what the director bona fide considers to be in the best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themselves, prior to making a business decision,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interests of the company, (b) a duty to exercise their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all material information reasonably available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for the purposes they were conferred, (c) a duty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them. The duty of care also requires that</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avoid fettering his or her discretion in the future and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directors  exercise  care  in  overseeing  and</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 a duty to avoid conflicts of interest and of duty.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investigating the conduct of the corporation’s</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law duties owed by a director are those to act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employees.  The  duty  of  loyalty  may  be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skill, care and diligence that may reasonably be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summarized as the duty to act in good faith, not</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expected of a person carrying out the same functions as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out of self-interest, and in a manner which the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are carried out by that director in relation to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reasonably believes to be in the best</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 and, also, to act with the skill, care and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interests of the shareholders.</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diligence  in  keeping  with  a  standard  of  care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commensurate with any particular skill they have which</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enables them to meet a higher standard than a director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without those skills. In fulfilling their duty of care to</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 our directors must ensure compliance with our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as amended and restated from</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time to time. We have the right to seek damages where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certain  duties  owed  by  any  of  our  directors  are</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breached.</w:t>
            </w:r>
          </w:p>
        </w:tc>
        <w:tc>
          <w:tcPr>
            <w:tcW w:w="0" w:type="dxa"/>
            <w:vAlign w:val="bottom"/>
          </w:tcPr>
          <w:p>
            <w:pPr>
              <w:spacing w:after="0"/>
              <w:rPr>
                <w:sz w:val="1"/>
                <w:szCs w:val="1"/>
                <w:color w:val="auto"/>
              </w:rPr>
            </w:pP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Limitations on Personal Liability of Directors</w:t>
            </w: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Subject to the limitations described below, a</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Cayman Islands law does not limit the extent to</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 may provide for the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which a company’s articles of association may provide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elimination or limitation of the personal liability</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indemnification of officers and directors, except to</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a  director  to  the  corporation  or  its</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extent any such provision may be held by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shareholders for monetary damages for a breach</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Cayman Islands courts to be contrary to public policy,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fiduciary duty as a director. Such provision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such as to provide indemnification against civil fraud 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cannot limit liability for breach of loyalty, bad</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consequences of committing a crime.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faith, intentional misconduct, unlawful payment</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dividends or unlawful share purchase or</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redemption.  In  addition,  the  certificate  of</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incorporation cannot limit liability for any act</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 omission occurring prior to the date when</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such provision becomes effective.</w:t>
            </w: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ind w:left="2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Officers, Agents,</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corporation has the power to indemnify any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 law does not limit the extent to which</w:t>
            </w:r>
          </w:p>
        </w:tc>
      </w:tr>
      <w:tr>
        <w:trPr>
          <w:trHeight w:val="218"/>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and Others</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officer,  employee,  or  agent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company’s memorandum and articles of association</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who was, is, or is threatened to be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provide  for  indemnification  of  officers  and</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made a party who acted in good faith and in 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except to the extent any such provision may</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manner he believed to be in the best interests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held by the Cayman Islands courts to be contrary to</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corporation, and if with respect to a criminal</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policy,  such  as  to  provide  indemnification</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proceeding, had no reasonable cause to believe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against civil fraud or the consequences of committing a</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 conduct would be unlawful, against amounts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crime,  or  against  the  indemnified  person’s  own</w:t>
            </w:r>
          </w:p>
        </w:tc>
      </w:tr>
      <w:tr>
        <w:trPr>
          <w:trHeight w:val="234"/>
        </w:trPr>
        <w:tc>
          <w:tcPr>
            <w:tcW w:w="348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actually and reasonably incurred.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dishonesty, wilful default or fraud.</w:t>
            </w:r>
          </w:p>
        </w:tc>
      </w:tr>
      <w:tr>
        <w:trPr>
          <w:trHeight w:val="414"/>
        </w:trPr>
        <w:tc>
          <w:tcPr>
            <w:tcW w:w="3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second amended and restated memorandum and</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articles  of  association  provide  that  every  director</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any alternate director), secretary, assistant</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 or other officer for the time being and from</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to time of our company (but not including our</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auditors) and the personal representatives of</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same (each an “Indemnified Person”) shall be</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indemnified and secured harmless against all actions,</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proceedings, costs, charges, expenses, losses, damages</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liabilities incurred or sustained by such Indemnified</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other than by reason of such Indemnified</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own dishonesty, willful default or fraud, in or</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about the conduct of our company’s business or affairs</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as a result of any mistake of judgment) or in</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execution  or  discharge  of  his  duties,  powers,</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authorities or discretions, including without prejudice</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the generality of the foregoing, any costs, expenses,</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losses  or  liabilities  incurred  by  such  Indemnified</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in  defending  (whether  successfully  or</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otherwise)  any  civil  proceedings  concerning  our</w:t>
            </w:r>
          </w:p>
        </w:tc>
      </w:tr>
      <w:tr>
        <w:trPr>
          <w:trHeight w:val="216"/>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or its affairs in any court whether in the</w:t>
            </w:r>
          </w:p>
        </w:tc>
      </w:tr>
      <w:tr>
        <w:trPr>
          <w:trHeight w:val="234"/>
        </w:trPr>
        <w:tc>
          <w:tcPr>
            <w:tcW w:w="34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 or elsewhere..</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Delaware law, a transaction in which 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Interested director transactions are governed by the</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who has an interest in such transaction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of a company’s memorandum and articles of</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would not be voidable if (i) the material facts as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association.</w:t>
            </w: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such  interested  director’s  relationship  or</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 are disclosed or are known to the board</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directors  and  the  board  in  good  faith</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authorizes the transaction by the affirmative</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vote of a majority of the disinterested directors,</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 though the disinterested directors are less</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than a quorum, (ii) such material facts are</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disclosed or are known to the shareholders</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entitled to vote on such transaction and the</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is specifically approved in good</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faith by vote of the shareholders, or (iii) the</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is fair as to the corporation as of the</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it  is  authorized,  approved  or  ratified.</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Delaware law, a director could be held</w:t>
            </w:r>
          </w:p>
        </w:tc>
        <w:tc>
          <w:tcPr>
            <w:tcW w:w="4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liable for any transaction in which such director</w:t>
            </w:r>
          </w:p>
        </w:tc>
        <w:tc>
          <w:tcPr>
            <w:tcW w:w="410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derived an improper personal benefit.</w:t>
            </w:r>
          </w:p>
        </w:tc>
        <w:tc>
          <w:tcPr>
            <w:tcW w:w="4100" w:type="dxa"/>
            <w:vAlign w:val="bottom"/>
          </w:tcPr>
          <w:p>
            <w:pPr>
              <w:spacing w:after="0"/>
              <w:rPr>
                <w:sz w:val="20"/>
                <w:szCs w:val="20"/>
                <w:color w:val="auto"/>
              </w:rPr>
            </w:pPr>
          </w:p>
        </w:tc>
      </w:tr>
      <w:tr>
        <w:trPr>
          <w:trHeight w:val="655"/>
        </w:trPr>
        <w:tc>
          <w:tcPr>
            <w:tcW w:w="3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8</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Voting Requirements</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The certificate of incorporation may include 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Cayman Companies Act requires that a special</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provision requiring supermajority approval by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resolution be passed by a majority of at least two-thirds</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the directors or shareholders for any corporate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such  higher  percentage  as  set  forth  in  the</w:t>
            </w:r>
          </w:p>
        </w:tc>
      </w:tr>
      <w:tr>
        <w:trPr>
          <w:trHeight w:val="216"/>
        </w:trPr>
        <w:tc>
          <w:tcPr>
            <w:tcW w:w="334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   of</w:t>
            </w:r>
          </w:p>
        </w:tc>
      </w:tr>
      <w:tr>
        <w:trPr>
          <w:trHeight w:val="216"/>
        </w:trPr>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being entitled to vote and do vote in</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In  addition,  under  Delaware  law,  certain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or  by  proxy  at  a  general  meeting,  or  by</w:t>
            </w:r>
          </w:p>
        </w:tc>
      </w:tr>
      <w:tr>
        <w:trPr>
          <w:trHeight w:val="216"/>
        </w:trPr>
        <w:tc>
          <w:tcPr>
            <w:tcW w:w="3340" w:type="dxa"/>
            <w:vAlign w:val="bottom"/>
          </w:tcPr>
          <w:p>
            <w:pPr>
              <w:spacing w:after="0"/>
              <w:rPr>
                <w:sz w:val="18"/>
                <w:szCs w:val="18"/>
                <w:color w:val="auto"/>
              </w:rPr>
            </w:pPr>
          </w:p>
        </w:tc>
        <w:tc>
          <w:tcPr>
            <w:tcW w:w="2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business  combinations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involving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unanimous written consent of shareholders entitled to</w:t>
            </w:r>
          </w:p>
        </w:tc>
      </w:tr>
      <w:tr>
        <w:trPr>
          <w:trHeight w:val="216"/>
        </w:trPr>
        <w:tc>
          <w:tcPr>
            <w:tcW w:w="334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shareholders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require</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approval</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at a general meeting.</w:t>
            </w:r>
          </w:p>
        </w:tc>
      </w:tr>
      <w:tr>
        <w:trPr>
          <w:trHeight w:val="216"/>
        </w:trPr>
        <w:tc>
          <w:tcPr>
            <w:tcW w:w="334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supermajority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of</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non-interested</w:t>
            </w:r>
          </w:p>
        </w:tc>
        <w:tc>
          <w:tcPr>
            <w:tcW w:w="4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shareholders.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Cayman  Companies  Act  defines  “special</w:t>
            </w:r>
          </w:p>
        </w:tc>
      </w:tr>
      <w:tr>
        <w:trPr>
          <w:trHeight w:val="216"/>
        </w:trPr>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resolutions”  only.  A  company’s  memorandum  and</w:t>
            </w:r>
          </w:p>
        </w:tc>
      </w:tr>
      <w:tr>
        <w:trPr>
          <w:trHeight w:val="216"/>
        </w:trPr>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articles of association can therefore tailor the definition</w:t>
            </w:r>
          </w:p>
        </w:tc>
      </w:tr>
      <w:tr>
        <w:trPr>
          <w:trHeight w:val="216"/>
        </w:trPr>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“ordinary resolutions” as a whole, or with respect to</w:t>
            </w:r>
          </w:p>
        </w:tc>
      </w:tr>
      <w:tr>
        <w:trPr>
          <w:trHeight w:val="234"/>
        </w:trPr>
        <w:tc>
          <w:tcPr>
            <w:tcW w:w="3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provisions.</w:t>
            </w: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Voting for Directors</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Under Delaware law, unless otherwise specified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election is governed by the terms of the</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in the certificate of incorporation or bylaws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the corporation, directors shall be elected by a</w:t>
            </w:r>
          </w:p>
        </w:tc>
        <w:tc>
          <w:tcPr>
            <w:tcW w:w="4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plurality of the votes of the shares present in</w:t>
            </w:r>
          </w:p>
        </w:tc>
        <w:tc>
          <w:tcPr>
            <w:tcW w:w="4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person or represented by proxy at the meeting</w:t>
            </w:r>
          </w:p>
        </w:tc>
        <w:tc>
          <w:tcPr>
            <w:tcW w:w="4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and entitled to vote on the election of directors.</w:t>
            </w:r>
          </w:p>
        </w:tc>
        <w:tc>
          <w:tcPr>
            <w:tcW w:w="4100" w:type="dxa"/>
            <w:vAlign w:val="bottom"/>
          </w:tcPr>
          <w:p>
            <w:pPr>
              <w:spacing w:after="0"/>
              <w:rPr>
                <w:sz w:val="20"/>
                <w:szCs w:val="20"/>
                <w:color w:val="auto"/>
              </w:rPr>
            </w:pP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Cumulative Voting</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No  cumulative  voting  for  the  election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 are no prohibitions in relation to cumulative</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directors unless so provided in the certificate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under the Cayman Companies Act but our</w:t>
            </w:r>
          </w:p>
        </w:tc>
      </w:tr>
      <w:tr>
        <w:trPr>
          <w:trHeight w:val="216"/>
        </w:trPr>
        <w:tc>
          <w:tcPr>
            <w:tcW w:w="334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incorporation.</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second amended and restated memorandum and articles</w:t>
            </w:r>
          </w:p>
        </w:tc>
      </w:tr>
      <w:tr>
        <w:trPr>
          <w:trHeight w:val="234"/>
        </w:trPr>
        <w:tc>
          <w:tcPr>
            <w:tcW w:w="3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association do not provide for cumulative voting</w:t>
            </w: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 Powers Regarding Bylaws</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The certificate of incorporation may grant the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memorandum and articles of association may only</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directors the power to adopt, amend or repeal</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amended by a special resolution of the shareholders.</w:t>
            </w:r>
          </w:p>
        </w:tc>
      </w:tr>
      <w:tr>
        <w:trPr>
          <w:trHeight w:val="234"/>
        </w:trPr>
        <w:tc>
          <w:tcPr>
            <w:tcW w:w="3340" w:type="dxa"/>
            <w:vAlign w:val="bottom"/>
          </w:tcPr>
          <w:p>
            <w:pPr>
              <w:spacing w:after="0"/>
              <w:rPr>
                <w:sz w:val="20"/>
                <w:szCs w:val="20"/>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bylaws.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12"/>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Nomination and Removal of Directors and</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Shareholders may generally nominate directors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Nomination and removal of directors and filling of</w:t>
            </w:r>
          </w:p>
        </w:tc>
      </w:tr>
      <w:tr>
        <w:trPr>
          <w:trHeight w:val="21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Filling Vacancies on Board</w:t>
            </w: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if they comply with advance notice provisions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vacancies are governed by the terms of the</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and other procedural requirements in company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3340" w:type="dxa"/>
            <w:vAlign w:val="bottom"/>
          </w:tcPr>
          <w:p>
            <w:pPr>
              <w:spacing w:after="0"/>
              <w:rPr>
                <w:sz w:val="18"/>
                <w:szCs w:val="18"/>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bylaws. Holders of a majority of the shares may</w:t>
            </w:r>
          </w:p>
        </w:tc>
        <w:tc>
          <w:tcPr>
            <w:tcW w:w="4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38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remove a director with or without cause, except</w:t>
            </w:r>
          </w:p>
        </w:tc>
        <w:tc>
          <w:tcPr>
            <w:tcW w:w="4100" w:type="dxa"/>
            <w:vAlign w:val="bottom"/>
          </w:tcPr>
          <w:p>
            <w:pPr>
              <w:spacing w:after="0"/>
              <w:rPr>
                <w:sz w:val="20"/>
                <w:szCs w:val="20"/>
                <w:color w:val="auto"/>
              </w:rPr>
            </w:pPr>
          </w:p>
        </w:tc>
      </w:tr>
    </w:tbl>
    <w:p>
      <w:pPr>
        <w:ind w:left="3620"/>
        <w:spacing w:after="0"/>
        <w:rPr>
          <w:sz w:val="20"/>
          <w:szCs w:val="20"/>
          <w:color w:val="auto"/>
        </w:rPr>
      </w:pPr>
      <w:r>
        <w:rPr>
          <w:rFonts w:ascii="Times New Roman" w:cs="Times New Roman" w:eastAsia="Times New Roman" w:hAnsi="Times New Roman"/>
          <w:sz w:val="18"/>
          <w:szCs w:val="18"/>
          <w:color w:val="auto"/>
        </w:rPr>
        <w:t>in certain cases involving a classified board 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if the company uses cumulative voting. Unless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otherwise  provided  for  in the certificate  of</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incorporation, directorship vacancies are filled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 a majority of the directors elected or then in</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office.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Under Delaware law, with certain exceptions, 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Cayman  Companies  Act  permits  mergers  and</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merger,  consolidation,  or  sale  of  all  or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consolidations between Cayman Islands companies and</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substantially all of the assets of a corporation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between Cayman Islands companies and non-Cayman</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must be approved by the board of directors and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Islands companies. For these purposes, (a) “merger”</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 a majority of the outstanding voting power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the  merging  of  two  or  more  constituent</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the shares entitled to vote thereon. Under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  and  the  vesting  of  their  undertaking,</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 law, a shareholder of a corporation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liabilities in one of such companies as the</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participating in certain mergers are entitled to</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surviving company, and (b) a “consolidation” means</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appraisal  rights  pursuant  to  which  such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combination of two or more constituent companies</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shareholder may receive cash in the amount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into a consolidated company and the vesting of the</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fair value (as determined by the Delaware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undertaking, property and liabilities of such companies</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Court of Chancery) of the shares held by such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consolidated company. In order to effect such a</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shareholder in lieu of the consideration such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or  consolidation,  the  directors  of  each</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shareholder  would  otherwise  receive  in  the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constituent company must approve a written plan of</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or consolidation, which must then be authorized</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(a) a special resolution of the shareholders of each</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 law also provides that a parent entity,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constituent company, and (b) such other authorization,</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 resolution of its board of directors, may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if  any,  as  may  be  specified  in  such  constituent</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merge  with  any  subsidiary  corporation,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articles of association. The plan must be</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which it owns at least 90% of each class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with the Registrar of Companies in the Cayman</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capital stock without a vote by shareholders of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Islands together with a declaration as to the solvency of</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such  subsidiary.  Upon  any  such  merger,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consolidated or surviving company, a statement</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dissenting shareholders of the subsidiary would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setting out the assets and liabilities of each constituent</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have appraisal rights unless the subsidiary is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and  an  undertaking  that  a  copy  of  the</w:t>
            </w:r>
          </w:p>
        </w:tc>
      </w:tr>
      <w:tr>
        <w:trPr>
          <w:trHeight w:val="216"/>
        </w:trPr>
        <w:tc>
          <w:tcPr>
            <w:tcW w:w="3080" w:type="dxa"/>
            <w:vAlign w:val="bottom"/>
          </w:tcPr>
          <w:p>
            <w:pPr>
              <w:spacing w:after="0"/>
              <w:rPr>
                <w:sz w:val="18"/>
                <w:szCs w:val="18"/>
                <w:color w:val="auto"/>
              </w:rPr>
            </w:pPr>
          </w:p>
        </w:tc>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wholly owned.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 of merger or consolidation will be given to</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members and creditors of each constituent company</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that notification of the merger or consolidation will</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published in the Cayman Islands Gazette. Court</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approval is not required for a merger or consolidation</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which is effected in compliance with these statutory</w:t>
            </w:r>
          </w:p>
        </w:tc>
      </w:tr>
      <w:tr>
        <w:trPr>
          <w:trHeight w:val="234"/>
        </w:trPr>
        <w:tc>
          <w:tcPr>
            <w:tcW w:w="30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procedures.</w:t>
            </w:r>
          </w:p>
        </w:tc>
      </w:tr>
      <w:tr>
        <w:trPr>
          <w:trHeight w:val="414"/>
        </w:trPr>
        <w:tc>
          <w:tcPr>
            <w:tcW w:w="30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merger between a Cayman Islands parent company</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its Cayman subsidiary or subsidiaries does not</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 authorization by a resolution of shareholders if</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copy of the plan of merger is given to every member</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each subsidiary company to be merged unless that</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 agrees otherwise. For this purpose a subsidiary</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 a company of which at least ninety percent (90%) of</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issued shares entitled to vote are owned by the</w:t>
            </w:r>
          </w:p>
        </w:tc>
      </w:tr>
      <w:tr>
        <w:trPr>
          <w:trHeight w:val="234"/>
        </w:trPr>
        <w:tc>
          <w:tcPr>
            <w:tcW w:w="30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 company.</w:t>
            </w:r>
          </w:p>
        </w:tc>
      </w:tr>
      <w:tr>
        <w:trPr>
          <w:trHeight w:val="414"/>
        </w:trPr>
        <w:tc>
          <w:tcPr>
            <w:tcW w:w="30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consent of each holder of a fixed or floating</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interest over a constituent company is required</w:t>
            </w:r>
          </w:p>
        </w:tc>
      </w:tr>
      <w:tr>
        <w:trPr>
          <w:trHeight w:val="216"/>
        </w:trPr>
        <w:tc>
          <w:tcPr>
            <w:tcW w:w="30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unless this requirement is waived by a court in the</w:t>
            </w:r>
          </w:p>
        </w:tc>
      </w:tr>
      <w:tr>
        <w:trPr>
          <w:trHeight w:val="234"/>
        </w:trPr>
        <w:tc>
          <w:tcPr>
            <w:tcW w:w="30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655"/>
        </w:trPr>
        <w:tc>
          <w:tcPr>
            <w:tcW w:w="30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10</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214" w:name="page215"/>
    <w:bookmarkEnd w:id="214"/>
    <w:p>
      <w:pPr>
        <w:ind w:left="6080"/>
        <w:spacing w:after="0"/>
        <w:rPr>
          <w:sz w:val="20"/>
          <w:szCs w:val="20"/>
          <w:color w:val="auto"/>
        </w:rPr>
      </w:pPr>
      <w:r>
        <w:rPr>
          <w:rFonts w:ascii="Times New Roman" w:cs="Times New Roman" w:eastAsia="Times New Roman" w:hAnsi="Times New Roman"/>
          <w:sz w:val="18"/>
          <w:szCs w:val="18"/>
          <w:color w:val="auto"/>
        </w:rPr>
        <w:t>Save in certain circumstances, a dissentient shareholder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  a  Cayman  constituent  company  is  entitled  to</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payment of the fair value of his shares upon dissenting</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to a merger or consolidation. The exercise of appraisal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rights will preclude the exercise of any other rights save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for the right to seek relief on the grounds that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merger or consolidation is void or unlawful.</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Reconstructions and amalgamations may be approved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(i) 75% in value of the members or class of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members or (ii) a majority in number representing 75%</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 value of the creditors or class of creditors, in each</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case depending on the circumstances, as are present at a</w:t>
      </w:r>
    </w:p>
    <w:p>
      <w:pPr>
        <w:spacing w:after="0" w:line="9" w:lineRule="exact"/>
        <w:rPr>
          <w:sz w:val="20"/>
          <w:szCs w:val="20"/>
          <w:color w:val="auto"/>
        </w:rPr>
      </w:pPr>
    </w:p>
    <w:p>
      <w:pPr>
        <w:ind w:left="6080"/>
        <w:spacing w:after="0"/>
        <w:tabs>
          <w:tab w:leader="none" w:pos="6800" w:val="left"/>
          <w:tab w:leader="none" w:pos="7400" w:val="left"/>
          <w:tab w:leader="none" w:pos="7760" w:val="left"/>
          <w:tab w:leader="none" w:pos="8260" w:val="left"/>
          <w:tab w:leader="none" w:pos="8980" w:val="left"/>
          <w:tab w:leader="none" w:pos="9400" w:val="left"/>
        </w:tabs>
        <w:rPr>
          <w:sz w:val="20"/>
          <w:szCs w:val="20"/>
          <w:color w:val="auto"/>
        </w:rPr>
      </w:pPr>
      <w:r>
        <w:rPr>
          <w:rFonts w:ascii="Times New Roman" w:cs="Times New Roman" w:eastAsia="Times New Roman" w:hAnsi="Times New Roman"/>
          <w:sz w:val="18"/>
          <w:szCs w:val="18"/>
          <w:color w:val="auto"/>
        </w:rPr>
        <w:t>meeting</w:t>
        <w:tab/>
        <w:t>called</w:t>
        <w:tab/>
        <w:t>for</w:t>
        <w:tab/>
        <w:t>such</w:t>
        <w:tab/>
        <w:t>purpose</w:t>
        <w:tab/>
        <w:t>and</w:t>
      </w:r>
      <w:r>
        <w:rPr>
          <w:sz w:val="20"/>
          <w:szCs w:val="20"/>
          <w:color w:val="auto"/>
        </w:rPr>
        <w:tab/>
      </w:r>
      <w:r>
        <w:rPr>
          <w:rFonts w:ascii="Times New Roman" w:cs="Times New Roman" w:eastAsia="Times New Roman" w:hAnsi="Times New Roman"/>
          <w:sz w:val="17"/>
          <w:szCs w:val="17"/>
          <w:color w:val="auto"/>
        </w:rPr>
        <w:t>thereafter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sanctioned by the Grand Court of the Cayman Islands.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Whilst a dissenting member has the right to express to</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court  his  view  that  the  transaction  for  which</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approval  is  being  sought  would  not  provide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members with a fair value for their shares, it can be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expected that the court would approve the transaction if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it is satisfied that (i) the company is not proposing to</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act illegally or beyond the scope of its corporate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authority and the statutory provisions as to majority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vote have been complied with, (ii) the members have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been fairly represented at the meeting in question, (iii)</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transaction  is  such  as  a  businessman  would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reasonably approve and (iv) the transaction is not one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that would more properly be sanctioned under some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other provisions of the Cayman Companies Act or that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would amount to a “fraud on the minority”. If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transaction is approved, no dissenting member would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have any rights comparable to the appraisal rights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(namely the right to receive payment in cash for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judicially determined value of his shares), which may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 available to dissenting members of corporations 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other jurisdictions.</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Cayman Companies Act also contains a statutory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power of compulsory acquisition which may facilitate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“squeeze out” of dissentient minority shareholder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upon a tender offer. When a tender offer is made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accepted by holders of not less than ninety percent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(90%) in value of the shares affected within four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months, the offeror may, within a two-month period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commencing on the expiration of such four-month</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period, require the holders of the remaining shares to</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transfer such shares to the offeror on the terms of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offer. An objection can be made to the Grand Court of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Cayman Islands, but it is unlikely to succeed in the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case of an offer which has been so accepted unless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there is evidence of fraud, bad faith or collusion.</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If an arrangement and reconstruction is thus approved,</w:t>
      </w:r>
    </w:p>
    <w:p>
      <w:pPr>
        <w:spacing w:after="0" w:line="27" w:lineRule="exact"/>
        <w:rPr>
          <w:sz w:val="20"/>
          <w:szCs w:val="20"/>
          <w:color w:val="auto"/>
        </w:rPr>
      </w:pPr>
    </w:p>
    <w:p>
      <w:pPr>
        <w:ind w:left="6080"/>
        <w:spacing w:after="0"/>
        <w:tabs>
          <w:tab w:leader="none" w:pos="6420" w:val="left"/>
          <w:tab w:leader="none" w:pos="7300" w:val="left"/>
          <w:tab w:leader="none" w:pos="8280" w:val="left"/>
          <w:tab w:leader="none" w:pos="8880" w:val="left"/>
          <w:tab w:leader="none" w:pos="9360" w:val="left"/>
          <w:tab w:leader="none" w:pos="9680" w:val="left"/>
        </w:tabs>
        <w:rPr>
          <w:sz w:val="20"/>
          <w:szCs w:val="20"/>
          <w:color w:val="auto"/>
        </w:rPr>
      </w:pPr>
      <w:r>
        <w:rPr>
          <w:rFonts w:ascii="Times New Roman" w:cs="Times New Roman" w:eastAsia="Times New Roman" w:hAnsi="Times New Roman"/>
          <w:sz w:val="18"/>
          <w:szCs w:val="18"/>
          <w:color w:val="auto"/>
        </w:rPr>
        <w:t>the</w:t>
        <w:tab/>
        <w:t>dissenting</w:t>
        <w:tab/>
        <w:t>shareholder</w:t>
        <w:tab/>
        <w:t>would</w:t>
        <w:tab/>
        <w:t>have</w:t>
        <w:tab/>
        <w:t>no</w:t>
        <w:tab/>
        <w:t>rights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comparable to appraisal rights, which would otherwise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ordinarily be available to dissenting shareholders of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Delaware  corporations,  providing  rights  to  receive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payment in cash for the judicially determined value of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shares</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 Suits</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Class actions and derivative actions generally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principle, we will normally be the proper plaintiff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are available to shareholders under Delaware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as a general rule a derivative action may not be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law for, among other things, breach of fiduciary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brought by a minority shareholder. However, based on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duty, corporate waste and actions not taken in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English authorities, which would in all likelihood be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accordance with applicable law.</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persuasive authority in the Cayman Islands, there are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In  such  actions,  the  court  generally  has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exceptions to the foregoing principle, including when:</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discretion  to  permit  the  winning  party  to</w:t>
            </w: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an act which is illegal or ultra vires with respect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recover attorneys’ fees incurred in connection</w:t>
            </w: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the company and is therefore incapable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with such action but such discretion is rarely</w:t>
            </w: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ratification by the shareholders;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used.   Generally,   Delaware   follows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American rule under which each party bears its</w:t>
            </w: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act complained of, although not ultra vires,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own costs.</w:t>
            </w: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requires authorization by a qualified (or special)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majority (that is, more than a simple majority)</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which has not been obtained; and</w:t>
            </w: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an act which constitutes a “fraud on the minority”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where the wrongdoers are themselves in control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 the company.</w:t>
            </w: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Inspection of Corporate Records</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Under  Delaware  law,  shareholders  of  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of Cayman Islands exempted companies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corporation, upon written demand under oath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like us have no general rights under Cayman Islands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stating  the  purpose  thereof,  have  the  right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  to  inspect  corporate  records  (save  for  the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during normal business hours to inspect for any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 register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 purpose, and to make copies and extracts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mortgages and charges, and the special resolutions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list(s) of shareholders and other books and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passed by shareholders) or to obtain copies of the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records of the corporation and its subsidiaries, if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  of  members  of  these  companies.  Under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any, to the extent the books and records of such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 law, the names of current directors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subsidiaries are available to the corporation.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Company can be obtained from a search conducted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 the Registrar of Companies in the Cayman Islands.</w:t>
            </w: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our second amended and restated memorandum</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articles of association, our directors may from time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time determine whether and to what extent and at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times and places and under what conditions 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regulations our accounts and books or any of them shall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open to the inspection of shareholders not being</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and no shareholder (not being a director)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have any right to inspect any of our account 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 or document except as conferred by law 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authorised  by  the  directors,  provided  that  the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shall receive the annual audited financial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statements of our Company.</w:t>
            </w: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Under Delaware law, a shareholder has the right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 law provides shareholders with only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put any proposal before the annual meeting</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limited rights to requisition a general meeting, and does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shareholders, provided it complies with the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provide shareholders with any right to put any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notice provisions in the corporation’s governing</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proposal before a general meeting. However, these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documents. A special meeting may be called by</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may be provided in a company’s articles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board of directors or any other person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association.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authorized  to  do  so  in  the  corporation’s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governing documents, but shareholders may be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precluded from calling special meetings.</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color w:val="auto"/>
              </w:rPr>
              <w:t>12</w:t>
            </w:r>
          </w:p>
        </w:tc>
        <w:tc>
          <w:tcPr>
            <w:tcW w:w="4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216" w:name="page217"/>
    <w:bookmarkEnd w:id="216"/>
    <w:p>
      <w:pPr>
        <w:spacing w:after="0" w:line="284" w:lineRule="auto"/>
        <w:rPr>
          <w:sz w:val="20"/>
          <w:szCs w:val="20"/>
          <w:color w:val="auto"/>
        </w:rPr>
      </w:pPr>
      <w:r>
        <w:rPr>
          <w:rFonts w:ascii="Times New Roman" w:cs="Times New Roman" w:eastAsia="Times New Roman" w:hAnsi="Times New Roman"/>
          <w:sz w:val="18"/>
          <w:szCs w:val="18"/>
          <w:i w:val="1"/>
          <w:iCs w:val="1"/>
          <w:color w:val="auto"/>
        </w:rPr>
        <w:t>Approval of Corporate Matters by Written Consent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Delaware law permits shareholders to take Our second amended and restated memorandum and action by written consent signed by the holders articles of association provide that a resolution in of outstanding shares having not less than the writing signed by all the shareholders for the time being minimum number of votes that would be entitled to receive notice of and to attend and vote at necessary to authorize or take such action at a general meetings of the Company (or being meeting of shareholders unless otherwise corporations by their duly authorised representatives) provided in the corporation’s certificate of shall be as valid and effective as if the same had been incorporation. A corporation must send prompt passed at a general meeting of the Company duly notice of the taking of the corporate action convened and held. approved by shareholders without a meeting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unanimous written consent to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have not consented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who would have otherwise been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meeting at which such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been taken.</w:t>
      </w:r>
    </w:p>
    <w:p>
      <w:pPr>
        <w:spacing w:after="0" w:line="200" w:lineRule="exact"/>
        <w:rPr>
          <w:sz w:val="20"/>
          <w:szCs w:val="20"/>
          <w:color w:val="auto"/>
        </w:rPr>
      </w:pPr>
    </w:p>
    <w:p>
      <w:pPr>
        <w:sectPr>
          <w:pgSz w:w="11900" w:h="16838" w:orient="portrait"/>
          <w:cols w:equalWidth="0" w:num="2">
            <w:col w:w="3040" w:space="580"/>
            <w:col w:w="7620"/>
          </w:cols>
          <w:pgMar w:left="320" w:top="902" w:right="339" w:bottom="1440" w:gutter="0" w:footer="0" w:header="0"/>
        </w:sectPr>
      </w:pPr>
    </w:p>
    <w:p>
      <w:pPr>
        <w:spacing w:after="0" w:line="5" w:lineRule="exact"/>
        <w:rPr>
          <w:sz w:val="20"/>
          <w:szCs w:val="20"/>
          <w:color w:val="auto"/>
        </w:rPr>
      </w:pPr>
    </w:p>
    <w:p>
      <w:pPr>
        <w:jc w:val="both"/>
        <w:ind w:left="3620" w:hanging="3603"/>
        <w:spacing w:after="0" w:line="256" w:lineRule="auto"/>
        <w:tabs>
          <w:tab w:leader="none" w:pos="3600" w:val="left"/>
        </w:tabs>
        <w:rPr>
          <w:sz w:val="20"/>
          <w:szCs w:val="20"/>
          <w:color w:val="auto"/>
        </w:rPr>
      </w:pPr>
      <w:r>
        <w:rPr>
          <w:rFonts w:ascii="Times New Roman" w:cs="Times New Roman" w:eastAsia="Times New Roman" w:hAnsi="Times New Roman"/>
          <w:sz w:val="18"/>
          <w:szCs w:val="18"/>
          <w:i w:val="1"/>
          <w:iCs w:val="1"/>
          <w:color w:val="auto"/>
        </w:rPr>
        <w:t>Calling of Special Shareholders Meetings</w:t>
      </w:r>
      <w:r>
        <w:rPr>
          <w:sz w:val="20"/>
          <w:szCs w:val="20"/>
          <w:color w:val="auto"/>
        </w:rPr>
        <w:tab/>
      </w:r>
      <w:r>
        <w:rPr>
          <w:rFonts w:ascii="Times New Roman" w:cs="Times New Roman" w:eastAsia="Times New Roman" w:hAnsi="Times New Roman"/>
          <w:sz w:val="18"/>
          <w:szCs w:val="18"/>
          <w:color w:val="auto"/>
        </w:rPr>
        <w:t>Delaware law permits the board of directors or The Cayman Companies Act does not have provisions any person who is authorized under a governing the proceedings of shareholders meetings corporation’s certificate of incorporation or which are usually provided in the memorandum and bylaws to call a special meeting of articles of association.</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sz w:val="20"/>
          <w:szCs w:val="20"/>
          <w:color w:val="auto"/>
        </w:rPr>
      </w:pPr>
    </w:p>
    <w:p>
      <w:pPr>
        <w:ind w:left="260" w:hanging="252"/>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appropriate;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authorised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17" w:name="page218"/>
    <w:bookmarkEnd w:id="217"/>
    <w:p>
      <w:pPr>
        <w:spacing w:after="0" w:line="282" w:lineRule="auto"/>
        <w:rPr>
          <w:sz w:val="20"/>
          <w:szCs w:val="20"/>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Cayman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8.1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68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216"/>
        </w:trPr>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6"/>
        </w:trPr>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VVAX Skyline Holdings Limited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Windsor Holdings Co., Ltd.</w:t>
            </w:r>
          </w:p>
        </w:tc>
        <w:tc>
          <w:tcPr>
            <w:tcW w:w="12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Peg Biotechnology (HK) Holding Limited</w:t>
            </w:r>
          </w:p>
        </w:tc>
        <w:tc>
          <w:tcPr>
            <w:tcW w:w="126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Hainan Senhan Biotechnology Co., Ltd.</w:t>
            </w:r>
          </w:p>
        </w:tc>
        <w:tc>
          <w:tcPr>
            <w:tcW w:w="12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Jilin Zhengye Biological Products Co., Ltd.</w:t>
            </w:r>
          </w:p>
        </w:tc>
        <w:tc>
          <w:tcPr>
            <w:tcW w:w="126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Beijing Zhongnong Zhengye Biotechnology Co., Ltd.</w:t>
            </w:r>
          </w:p>
        </w:tc>
        <w:tc>
          <w:tcPr>
            <w:tcW w:w="126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9" w:name="page220"/>
    <w:bookmarkEnd w:id="219"/>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Songlin Song, certify that:</w:t>
      </w:r>
    </w:p>
    <w:p>
      <w:pPr>
        <w:spacing w:after="0" w:line="225" w:lineRule="exact"/>
        <w:rPr>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Zhengye Biotechnology Holding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Songlin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Songlin Song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(Principal Executive Officer)</w:t>
      </w:r>
    </w:p>
    <w:p>
      <w:pPr>
        <w:sectPr>
          <w:pgSz w:w="11900" w:h="16838" w:orient="portrait"/>
          <w:cols w:equalWidth="0" w:num="1">
            <w:col w:w="11240"/>
          </w:cols>
          <w:pgMar w:left="320" w:top="117" w:right="339" w:bottom="1440" w:gutter="0" w:footer="0" w:header="0"/>
        </w:sectPr>
      </w:pPr>
    </w:p>
    <w:bookmarkStart w:id="220" w:name="page221"/>
    <w:bookmarkEnd w:id="220"/>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Ping Wang, certify that:</w:t>
      </w:r>
    </w:p>
    <w:p>
      <w:pPr>
        <w:spacing w:after="0" w:line="225"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Zhengye Biotechnology Holding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Ping Wang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221" w:name="page222"/>
    <w:bookmarkEnd w:id="221"/>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Zhengye Biotechnology Holding Limited (the “Company”) on Form 20-F for the year ended December 31, 2025, as filed with the Securities and Exchange Commission on the date hereof (the “Report”), I, Songlin Song,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2026</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Songlin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Songlin Song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(Principal Executive Officer)</w:t>
      </w:r>
    </w:p>
    <w:p>
      <w:pPr>
        <w:sectPr>
          <w:pgSz w:w="11900" w:h="16838" w:orient="portrait"/>
          <w:cols w:equalWidth="0" w:num="1">
            <w:col w:w="11240"/>
          </w:cols>
          <w:pgMar w:left="320" w:top="117" w:right="339" w:bottom="1440" w:gutter="0" w:footer="0" w:header="0"/>
        </w:sectPr>
      </w:pPr>
    </w:p>
    <w:bookmarkStart w:id="222" w:name="page223"/>
    <w:bookmarkEnd w:id="222"/>
    <w:p>
      <w:pPr>
        <w:ind w:left="10320"/>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Zhengye Biotechnology Holding Limited (the “Company”) on Form 20-F for the year ended December 31, 2025, as filed with the Securities and Exchange Commission on the date hereof (the “Report”), I, Ping Wang, Chief Financial Officer (Principal Accounting and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2026</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Ping Wang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1440180" cy="4972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1440180" cy="4972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151130</wp:posOffset>
            </wp:positionV>
            <wp:extent cx="2529205" cy="8229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25292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Northeast Bldg, Anno Domini Mansion,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No.8 Qiushi Road, Xihu District,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Hangzhou, Zhejiang 310013, P. R.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(86-571) 8993 9691</w:t>
      </w:r>
    </w:p>
    <w:p>
      <w:pPr>
        <w:spacing w:after="0" w:line="27" w:lineRule="exact"/>
        <w:rPr>
          <w:sz w:val="20"/>
          <w:szCs w:val="20"/>
          <w:color w:val="auto"/>
        </w:rPr>
      </w:pPr>
    </w:p>
    <w:p>
      <w:pPr>
        <w:ind w:left="260" w:hanging="252"/>
        <w:spacing w:after="0"/>
        <w:tabs>
          <w:tab w:leader="none" w:pos="2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guantaohz@guantao.com</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www.guantao.com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Zhengye Biotechnology Holding Limited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No.1 Lianmeng Road, Jilin Economic &amp; Technical Development Zone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Jilin City, Jilin Province,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consent letter as an exhibit to the annual report on Form 20-F filed by Zhengye Biotechnology Holding Limited with the U.S. Securities and Exchange Commission (the “SEC”) on Apr. 28, 2026 (the “Form 20-F”).</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“ITEM 3. KEY INFORMATION” “Risks Relating to Doing Business in the PRC” “Item 6. DIRECTORS, SENIOR MANAGEMENT AND EMPLOYEES” in Zhengye Biotechnology Holding Limited’s Annual Report on Apr. 28, 2026 (the “Form 20-F”), which is filed with the Securities and Exchange Commission (the “SEC”)on the date hereof. We also consent to the filing with the SEC of this consent letter as an exhibit to the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hereby consent to the use of our firm name and summaries of our firm’s opinions in the Form 20-F.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withirthe category of persons whose consent is required under Section 7 of the Securities Act of 1933, or under the Securities Exchange Act of 1934, in each case, as amended, or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0225" cy="15005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1800225" cy="15005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168275</wp:posOffset>
            </wp:positionV>
            <wp:extent cx="5888990" cy="10204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588899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by reference in the annual report on Form 20-F of our report dated April 28, 2026, relating to the audit of the consolidated balance sheets of Zhengye Biotechnology Holding Limited and its subsidiaries (collectively the “Company”) as of December 31, 2024 and 2025 and the related consolidated statements of operations and comprehensive income (loss), changes in shareholders’ equity, and cash flows for each of the years in the three-year period ended December 31, 2025, and the related notes (collectively referred to as the “financial statements”), which appears in this Form 20-F filed by Zhengye Biotechnology Holding Limited with the U.S. Securities and Exchange Commission on April 28, 2026.</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WWC, P.C.</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1171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554355</wp:posOffset>
            </wp:positionV>
            <wp:extent cx="5915025" cy="419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5915025" cy="419735"/>
                    </a:xfrm>
                    <a:prstGeom prst="rect">
                      <a:avLst/>
                    </a:prstGeom>
                    <a:noFill/>
                  </pic:spPr>
                </pic:pic>
              </a:graphicData>
            </a:graphic>
          </wp:anchor>
        </w:drawing>
      </w:r>
    </w:p>
    <w:sectPr>
      <w:pgSz w:w="11900" w:h="16838" w:orient="portrait"/>
      <w:cols w:equalWidth="0" w:num="2">
        <w:col w:w="6040" w:space="720"/>
        <w:col w:w="448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1."/>
      <w:numFmt w:val="upperLetter"/>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1)"/>
      <w:numFmt w:val="lowerRoman"/>
      <w:start w:val="1"/>
    </w:lvl>
  </w:abstractNum>
  <w:abstractNum w:abstractNumId="22">
    <w:nsid w:val="5FB8011C"/>
    <w:multiLevelType w:val="hybridMultilevel"/>
    <w:lvl w:ilvl="0">
      <w:lvlJc w:val="left"/>
      <w:lvlText w:val="(%1)"/>
      <w:numFmt w:val="lowerRoman"/>
      <w:start w:val="1"/>
    </w:lvl>
  </w:abstractNum>
  <w:abstractNum w:abstractNumId="23">
    <w:nsid w:val="6AA78F7F"/>
    <w:multiLevelType w:val="hybridMultilevel"/>
    <w:lvl w:ilvl="0">
      <w:lvlJc w:val="left"/>
      <w:lvlText w:val="(%1)"/>
      <w:numFmt w:val="decimal"/>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1)"/>
      <w:numFmt w:val="decimal"/>
      <w:start w:val="1"/>
    </w:lvl>
  </w:abstractNum>
  <w:abstractNum w:abstractNumId="30">
    <w:nsid w:val="7DE67713"/>
    <w:multiLevelType w:val="hybridMultilevel"/>
    <w:lvl w:ilvl="0">
      <w:lvlJc w:val="left"/>
      <w:lvlText w:val="(%1)"/>
      <w:numFmt w:val="lowerRoman"/>
      <w:start w:val="2"/>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lvl w:ilvl="1">
      <w:lvlJc w:val="left"/>
      <w:lvlText w:val="(%2)"/>
      <w:numFmt w:val="lowerRoman"/>
      <w:start w:val="2"/>
    </w:lvl>
  </w:abstractNum>
  <w:abstractNum w:abstractNumId="39">
    <w:nsid w:val="5092CA79"/>
    <w:multiLevelType w:val="hybridMultilevel"/>
    <w:lvl w:ilvl="0">
      <w:lvlJc w:val="left"/>
      <w:lvlText w:val="●"/>
      <w:numFmt w:val="bullet"/>
      <w:start w:val="1"/>
    </w:lvl>
    <w:lvl w:ilvl="1">
      <w:lvlJc w:val="left"/>
      <w:lvlText w:val="(%2)"/>
      <w:numFmt w:val="lowerRoman"/>
      <w:start w:val="3"/>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lowerRoman"/>
      <w:start w:val="2"/>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lowerRoman"/>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1."/>
      <w:numFmt w:val="upperLetter"/>
      <w:start w:val="2"/>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1."/>
      <w:numFmt w:val="upperLetter"/>
      <w:start w:val="4"/>
    </w:lvl>
  </w:abstractNum>
  <w:abstractNum w:abstractNumId="55">
    <w:nsid w:val="3C5991AA"/>
    <w:multiLevelType w:val="hybridMultilevel"/>
    <w:lvl w:ilvl="0">
      <w:lvlJc w:val="left"/>
      <w:lvlText w:val="(%1)"/>
      <w:numFmt w:val="decimal"/>
      <w:start w:val="1"/>
    </w:lvl>
    <w:lvl w:ilvl="1">
      <w:lvlJc w:val="left"/>
      <w:lvlText w:val="(%2)"/>
      <w:numFmt w:val="lowerRoman"/>
      <w:start w:val="1"/>
    </w:lvl>
  </w:abstractNum>
  <w:abstractNum w:abstractNumId="56">
    <w:nsid w:val="4BD8591A"/>
    <w:multiLevelType w:val="hybridMultilevel"/>
    <w:lvl w:ilvl="0">
      <w:lvlJc w:val="left"/>
      <w:lvlText w:val="(%1)"/>
      <w:numFmt w:val="decimal"/>
      <w:start w:val="4"/>
    </w:lvl>
  </w:abstractNum>
  <w:abstractNum w:abstractNumId="57">
    <w:nsid w:val="78DF6A55"/>
    <w:multiLevelType w:val="hybridMultilevel"/>
    <w:lvl w:ilvl="0">
      <w:lvlJc w:val="left"/>
      <w:lvlText w:val="%1."/>
      <w:numFmt w:val="upperLetter"/>
      <w:start w:val="3"/>
    </w:lvl>
  </w:abstractNum>
  <w:abstractNum w:abstractNumId="58">
    <w:nsid w:val="39B7AAA2"/>
    <w:multiLevelType w:val="hybridMultilevel"/>
    <w:lvl w:ilvl="0">
      <w:lvlJc w:val="left"/>
      <w:lvlText w:val="%1."/>
      <w:numFmt w:val="upperLetter"/>
      <w:start w:val="5"/>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1."/>
      <w:numFmt w:val="upperLetter"/>
      <w:start w:val="5"/>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1)"/>
      <w:numFmt w:val="lowerRoman"/>
      <w:start w:val="1"/>
    </w:lvl>
  </w:abstractNum>
  <w:abstractNum w:abstractNumId="70">
    <w:nsid w:val="2708C9AF"/>
    <w:multiLevelType w:val="hybridMultilevel"/>
    <w:lvl w:ilvl="0">
      <w:lvlJc w:val="left"/>
      <w:lvlText w:val="(%1)"/>
      <w:numFmt w:val="lowerRoman"/>
      <w:start w:val="1"/>
    </w:lvl>
  </w:abstractNum>
  <w:abstractNum w:abstractNumId="71">
    <w:nsid w:val="5B25ACE2"/>
    <w:multiLevelType w:val="hybridMultilevel"/>
    <w:lvl w:ilvl="0">
      <w:lvlJc w:val="left"/>
      <w:lvlText w:val="(%1)"/>
      <w:numFmt w:val="decimal"/>
      <w:start w:val="1"/>
    </w:lvl>
  </w:abstractNum>
  <w:abstractNum w:abstractNumId="72">
    <w:nsid w:val="175DFCF0"/>
    <w:multiLevelType w:val="hybridMultilevel"/>
    <w:lvl w:ilvl="0">
      <w:lvlJc w:val="left"/>
      <w:lvlText w:val="(%1)"/>
      <w:numFmt w:val="lowerRoman"/>
      <w:start w:val="1"/>
    </w:lvl>
    <w:lvl w:ilvl="1">
      <w:lvlJc w:val="left"/>
      <w:lvlText w:val="%2."/>
      <w:numFmt w:val="lowerLetter"/>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1."/>
      <w:numFmt w:val="decimal"/>
      <w:start w:val="1"/>
    </w:lvl>
  </w:abstractNum>
  <w:abstractNum w:abstractNumId="78">
    <w:nsid w:val="519E3149"/>
    <w:multiLevelType w:val="hybridMultilevel"/>
    <w:lvl w:ilvl="0">
      <w:lvlJc w:val="left"/>
      <w:lvlText w:val="%1."/>
      <w:numFmt w:val="decimal"/>
      <w:start w:val="2"/>
    </w:lvl>
  </w:abstractNum>
  <w:abstractNum w:abstractNumId="79">
    <w:nsid w:val="2C6E4AFD"/>
    <w:multiLevelType w:val="hybridMultilevel"/>
    <w:lvl w:ilvl="0">
      <w:lvlJc w:val="left"/>
      <w:lvlText w:val="(%1)"/>
      <w:numFmt w:val="lowerRoman"/>
      <w:start w:val="1"/>
    </w:lvl>
  </w:abstractNum>
  <w:abstractNum w:abstractNumId="80">
    <w:nsid w:val="17A1B582"/>
    <w:multiLevelType w:val="hybridMultilevel"/>
    <w:lvl w:ilvl="0">
      <w:lvlJc w:val="left"/>
      <w:lvlText w:val="(%1)"/>
      <w:numFmt w:val="lowerRoman"/>
      <w:start w:val="2"/>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1)"/>
      <w:numFmt w:val="lowerRoman"/>
      <w:start w:val="1"/>
    </w:lvl>
  </w:abstractNum>
  <w:abstractNum w:abstractNumId="83">
    <w:nsid w:val="5D888A08"/>
    <w:multiLevelType w:val="hybridMultilevel"/>
    <w:lvl w:ilvl="0">
      <w:lvlJc w:val="left"/>
      <w:lvlText w:val="(%1)"/>
      <w:numFmt w:val="lowerRoman"/>
      <w:start w:val="1"/>
    </w:lvl>
  </w:abstractNum>
  <w:abstractNum w:abstractNumId="84">
    <w:nsid w:val="2A082C70"/>
    <w:multiLevelType w:val="hybridMultilevel"/>
    <w:lvl w:ilvl="0">
      <w:lvlJc w:val="left"/>
      <w:lvlText w:val="(%1)"/>
      <w:numFmt w:val="lowerRoman"/>
      <w:start w:val="1"/>
    </w:lvl>
  </w:abstractNum>
  <w:abstractNum w:abstractNumId="85">
    <w:nsid w:val="5EC6AFD4"/>
    <w:multiLevelType w:val="hybridMultilevel"/>
    <w:lvl w:ilvl="0">
      <w:lvlJc w:val="left"/>
      <w:lvlText w:val="%1."/>
      <w:numFmt w:val="decimal"/>
      <w:start w:val="12"/>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1."/>
      <w:numFmt w:val="decimal"/>
      <w:start w:val="1"/>
    </w:lvl>
  </w:abstractNum>
  <w:abstractNum w:abstractNumId="88">
    <w:nsid w:val="57A61A29"/>
    <w:multiLevelType w:val="hybridMultilevel"/>
    <w:lvl w:ilvl="0">
      <w:lvlJc w:val="left"/>
      <w:lvlText w:val="%1."/>
      <w:numFmt w:val="decimal"/>
      <w:start w:val="1"/>
    </w:lvl>
  </w:abstractNum>
  <w:abstractNum w:abstractNumId="89">
    <w:nsid w:val="5399C654"/>
    <w:multiLevelType w:val="hybridMultilevel"/>
    <w:lvl w:ilvl="0">
      <w:lvlJc w:val="left"/>
      <w:lvlText w:val="%1."/>
      <w:numFmt w:val="decimal"/>
      <w:start w:val="2"/>
    </w:lvl>
    <w:lvl w:ilvl="1">
      <w:lvlJc w:val="left"/>
      <w:lvlText w:val="(%2)"/>
      <w:numFmt w:val="lowerLetter"/>
      <w:start w:val="1"/>
    </w:lvl>
  </w:abstractNum>
  <w:abstractNum w:abstractNumId="90">
    <w:nsid w:val="20EE1348"/>
    <w:multiLevelType w:val="hybridMultilevel"/>
    <w:lvl w:ilvl="0">
      <w:lvlJc w:val="left"/>
      <w:lvlText w:val="%1."/>
      <w:numFmt w:val="decimal"/>
      <w:start w:val="4"/>
    </w:lvl>
  </w:abstractNum>
  <w:abstractNum w:abstractNumId="91">
    <w:nsid w:val="4427069A"/>
    <w:multiLevelType w:val="hybridMultilevel"/>
    <w:lvl w:ilvl="0">
      <w:lvlJc w:val="left"/>
      <w:lvlText w:val="%1."/>
      <w:numFmt w:val="decimal"/>
      <w:start w:val="8"/>
    </w:lvl>
    <w:lvl w:ilvl="1">
      <w:lvlJc w:val="left"/>
      <w:lvlText w:val="(%2)"/>
      <w:numFmt w:val="lowerLetter"/>
      <w:start w:val="1"/>
    </w:lvl>
  </w:abstractNum>
  <w:abstractNum w:abstractNumId="92">
    <w:nsid w:val="B37E80A"/>
    <w:multiLevelType w:val="hybridMultilevel"/>
    <w:lvl w:ilvl="0">
      <w:lvlJc w:val="left"/>
      <w:lvlText w:val="%1."/>
      <w:numFmt w:val="decimal"/>
      <w:start w:val="9"/>
    </w:lvl>
    <w:lvl w:ilvl="1">
      <w:lvlJc w:val="left"/>
      <w:lvlText w:val="(%2)"/>
      <w:numFmt w:val="lowerLetter"/>
      <w:start w:val="1"/>
    </w:lvl>
  </w:abstractNum>
  <w:abstractNum w:abstractNumId="93">
    <w:nsid w:val="2157F6BC"/>
    <w:multiLevelType w:val="hybridMultilevel"/>
    <w:lvl w:ilvl="0">
      <w:lvlJc w:val="left"/>
      <w:lvlText w:val="%1"/>
      <w:numFmt w:val="decimal"/>
      <w:start w:val="1"/>
    </w:lvl>
    <w:lvl w:ilvl="1">
      <w:lvlJc w:val="left"/>
      <w:lvlText w:val="(%2)"/>
      <w:numFmt w:val="lowerLetter"/>
      <w:start w:val="10"/>
    </w:lvl>
  </w:abstractNum>
  <w:abstractNum w:abstractNumId="94">
    <w:nsid w:val="704E1DD5"/>
    <w:multiLevelType w:val="hybridMultilevel"/>
    <w:lvl w:ilvl="0">
      <w:lvlJc w:val="left"/>
      <w:lvlText w:val="%1."/>
      <w:numFmt w:val="decimal"/>
      <w:start w:val="10"/>
    </w:lvl>
    <w:lvl w:ilvl="1">
      <w:lvlJc w:val="left"/>
      <w:lvlText w:val="%2"/>
      <w:numFmt w:val="lowerLetter"/>
      <w:start w:val="1"/>
    </w:lvl>
  </w:abstractNum>
  <w:abstractNum w:abstractNumId="95">
    <w:nsid w:val="57D2F10E"/>
    <w:multiLevelType w:val="hybridMultilevel"/>
    <w:lvl w:ilvl="0">
      <w:lvlJc w:val="left"/>
      <w:lvlText w:val="%1."/>
      <w:numFmt w:val="decimal"/>
      <w:start w:val="16"/>
    </w:lvl>
  </w:abstractNum>
  <w:abstractNum w:abstractNumId="96">
    <w:nsid w:val="BFFAE18"/>
    <w:multiLevelType w:val="hybridMultilevel"/>
    <w:lvl w:ilvl="0">
      <w:lvlJc w:val="left"/>
      <w:lvlText w:val="%1."/>
      <w:numFmt w:val="decimal"/>
      <w:start w:val="17"/>
    </w:lvl>
  </w:abstractNum>
  <w:abstractNum w:abstractNumId="97">
    <w:nsid w:val="E3E47A8"/>
    <w:multiLevelType w:val="hybridMultilevel"/>
    <w:lvl w:ilvl="0">
      <w:lvlJc w:val="left"/>
      <w:lvlText w:val="%1."/>
      <w:numFmt w:val="decimal"/>
      <w:start w:val="19"/>
    </w:lvl>
  </w:abstractNum>
  <w:abstractNum w:abstractNumId="98">
    <w:nsid w:val="2E48F044"/>
    <w:multiLevelType w:val="hybridMultilevel"/>
    <w:lvl w:ilvl="0">
      <w:lvlJc w:val="left"/>
      <w:lvlText w:val="%1."/>
      <w:numFmt w:val="decimal"/>
      <w:start w:val="20"/>
    </w:lvl>
  </w:abstractNum>
  <w:abstractNum w:abstractNumId="99">
    <w:nsid w:val="49D0FEAC"/>
    <w:multiLevelType w:val="hybridMultilevel"/>
    <w:lvl w:ilvl="0">
      <w:lvlJc w:val="left"/>
      <w:lvlText w:val="%1."/>
      <w:numFmt w:val="decimal"/>
      <w:start w:val="24"/>
    </w:lvl>
  </w:abstractNum>
  <w:abstractNum w:abstractNumId="100">
    <w:nsid w:val="4BEE5A5B"/>
    <w:multiLevelType w:val="hybridMultilevel"/>
    <w:lvl w:ilvl="0">
      <w:lvlJc w:val="left"/>
      <w:lvlText w:val="%1."/>
      <w:numFmt w:val="decimal"/>
      <w:start w:val="25"/>
    </w:lvl>
  </w:abstractNum>
  <w:abstractNum w:abstractNumId="101">
    <w:nsid w:val="5551B9F3"/>
    <w:multiLevelType w:val="hybridMultilevel"/>
    <w:lvl w:ilvl="0">
      <w:lvlJc w:val="left"/>
      <w:lvlText w:val="%1."/>
      <w:numFmt w:val="decimal"/>
      <w:start w:val="27"/>
    </w:lvl>
  </w:abstractNum>
  <w:abstractNum w:abstractNumId="102">
    <w:nsid w:val="24F6AB8E"/>
    <w:multiLevelType w:val="hybridMultilevel"/>
    <w:lvl w:ilvl="0">
      <w:lvlJc w:val="left"/>
      <w:lvlText w:val="%1."/>
      <w:numFmt w:val="decimal"/>
      <w:start w:val="29"/>
    </w:lvl>
  </w:abstractNum>
  <w:abstractNum w:abstractNumId="103">
    <w:nsid w:val="634C574C"/>
    <w:multiLevelType w:val="hybridMultilevel"/>
    <w:lvl w:ilvl="0">
      <w:lvlJc w:val="left"/>
      <w:lvlText w:val="%1."/>
      <w:numFmt w:val="decimal"/>
      <w:start w:val="35"/>
    </w:lvl>
  </w:abstractNum>
  <w:abstractNum w:abstractNumId="104">
    <w:nsid w:val="24E99DD7"/>
    <w:multiLevelType w:val="hybridMultilevel"/>
    <w:lvl w:ilvl="0">
      <w:lvlJc w:val="left"/>
      <w:lvlText w:val="%1."/>
      <w:numFmt w:val="decimal"/>
      <w:start w:val="43"/>
    </w:lvl>
  </w:abstractNum>
  <w:abstractNum w:abstractNumId="105">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6">
    <w:nsid w:val="1849C29B"/>
    <w:multiLevelType w:val="hybridMultilevel"/>
    <w:lvl w:ilvl="0">
      <w:lvlJc w:val="left"/>
      <w:lvlText w:val="%1."/>
      <w:numFmt w:val="decimal"/>
      <w:start w:val="45"/>
    </w:lvl>
    <w:lvl w:ilvl="1">
      <w:lvlJc w:val="left"/>
      <w:lvlText w:val="%2"/>
      <w:numFmt w:val="lowerLetter"/>
      <w:start w:val="1"/>
    </w:lvl>
    <w:lvl w:ilvl="2">
      <w:lvlJc w:val="left"/>
      <w:lvlText w:val="%3"/>
      <w:numFmt w:val="lowerRoman"/>
      <w:start w:val="1"/>
    </w:lvl>
  </w:abstractNum>
  <w:abstractNum w:abstractNumId="107">
    <w:nsid w:val="7DFF9D09"/>
    <w:multiLevelType w:val="hybridMultilevel"/>
    <w:lvl w:ilvl="0">
      <w:lvlJc w:val="left"/>
      <w:lvlText w:val="%1."/>
      <w:numFmt w:val="decimal"/>
      <w:start w:val="47"/>
    </w:lvl>
  </w:abstractNum>
  <w:abstractNum w:abstractNumId="108">
    <w:nsid w:val="754342"/>
    <w:multiLevelType w:val="hybridMultilevel"/>
    <w:lvl w:ilvl="0">
      <w:lvlJc w:val="left"/>
      <w:lvlText w:val="%1."/>
      <w:numFmt w:val="decimal"/>
      <w:start w:val="48"/>
    </w:lvl>
  </w:abstractNum>
  <w:abstractNum w:abstractNumId="109">
    <w:nsid w:val="69E7F3E5"/>
    <w:multiLevelType w:val="hybridMultilevel"/>
    <w:lvl w:ilvl="0">
      <w:lvlJc w:val="left"/>
      <w:lvlText w:val="%1."/>
      <w:numFmt w:val="decimal"/>
      <w:start w:val="50"/>
    </w:lvl>
  </w:abstractNum>
  <w:abstractNum w:abstractNumId="110">
    <w:nsid w:val="2A6DE806"/>
    <w:multiLevelType w:val="hybridMultilevel"/>
    <w:lvl w:ilvl="0">
      <w:lvlJc w:val="left"/>
      <w:lvlText w:val="%1."/>
      <w:numFmt w:val="decimal"/>
      <w:start w:val="51"/>
    </w:lvl>
    <w:lvl w:ilvl="1">
      <w:lvlJc w:val="left"/>
      <w:lvlText w:val="(%2)"/>
      <w:numFmt w:val="lowerLetter"/>
      <w:start w:val="1"/>
    </w:lvl>
  </w:abstractNum>
  <w:abstractNum w:abstractNumId="111">
    <w:nsid w:val="1816F8C4"/>
    <w:multiLevelType w:val="hybridMultilevel"/>
    <w:lvl w:ilvl="0">
      <w:lvlJc w:val="left"/>
      <w:lvlText w:val="%1"/>
      <w:numFmt w:val="decimal"/>
      <w:start w:val="1"/>
    </w:lvl>
    <w:lvl w:ilvl="1">
      <w:lvlJc w:val="left"/>
      <w:lvlText w:val="(%2)"/>
      <w:numFmt w:val="lowerLetter"/>
      <w:start w:val="4"/>
    </w:lvl>
  </w:abstractNum>
  <w:abstractNum w:abstractNumId="112">
    <w:nsid w:val="37DF2233"/>
    <w:multiLevelType w:val="hybridMultilevel"/>
    <w:lvl w:ilvl="0">
      <w:lvlJc w:val="left"/>
      <w:lvlText w:val="%1."/>
      <w:numFmt w:val="decimal"/>
      <w:start w:val="53"/>
    </w:lvl>
    <w:lvl w:ilvl="1">
      <w:lvlJc w:val="left"/>
      <w:lvlText w:val="%2"/>
      <w:numFmt w:val="lowerLetter"/>
      <w:start w:val="1"/>
    </w:lvl>
  </w:abstractNum>
  <w:abstractNum w:abstractNumId="113">
    <w:nsid w:val="7AB49DAF"/>
    <w:multiLevelType w:val="hybridMultilevel"/>
    <w:lvl w:ilvl="0">
      <w:lvlJc w:val="left"/>
      <w:lvlText w:val="%1."/>
      <w:numFmt w:val="decimal"/>
      <w:start w:val="55"/>
    </w:lvl>
    <w:lvl w:ilvl="1">
      <w:lvlJc w:val="left"/>
      <w:lvlText w:val="(%2)"/>
      <w:numFmt w:val="lowerLetter"/>
      <w:start w:val="1"/>
    </w:lvl>
  </w:abstractNum>
  <w:abstractNum w:abstractNumId="114">
    <w:nsid w:val="759F82CD"/>
    <w:multiLevelType w:val="hybridMultilevel"/>
    <w:lvl w:ilvl="0">
      <w:lvlJc w:val="left"/>
      <w:lvlText w:val="%1."/>
      <w:numFmt w:val="decimal"/>
      <w:start w:val="57"/>
    </w:lvl>
  </w:abstractNum>
  <w:abstractNum w:abstractNumId="115">
    <w:nsid w:val="61E74EA3"/>
    <w:multiLevelType w:val="hybridMultilevel"/>
    <w:lvl w:ilvl="0">
      <w:lvlJc w:val="left"/>
      <w:lvlText w:val="%1."/>
      <w:numFmt w:val="decimal"/>
      <w:start w:val="59"/>
    </w:lvl>
  </w:abstractNum>
  <w:abstractNum w:abstractNumId="116">
    <w:nsid w:val="597B4D84"/>
    <w:multiLevelType w:val="hybridMultilevel"/>
    <w:lvl w:ilvl="0">
      <w:lvlJc w:val="left"/>
      <w:lvlText w:val="%1."/>
      <w:numFmt w:val="decimal"/>
      <w:start w:val="61"/>
    </w:lvl>
    <w:lvl w:ilvl="1">
      <w:lvlJc w:val="left"/>
      <w:lvlText w:val="(%2)"/>
      <w:numFmt w:val="lowerLetter"/>
      <w:start w:val="1"/>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lowerLetter"/>
      <w:start w:val="5"/>
    </w:lvl>
  </w:abstractNum>
  <w:abstractNum w:abstractNumId="119">
    <w:nsid w:val="312167AD"/>
    <w:multiLevelType w:val="hybridMultilevel"/>
    <w:lvl w:ilvl="0">
      <w:lvlJc w:val="left"/>
      <w:lvlText w:val="%1."/>
      <w:numFmt w:val="decimal"/>
      <w:start w:val="64"/>
    </w:lvl>
    <w:lvl w:ilvl="1">
      <w:lvlJc w:val="left"/>
      <w:lvlText w:val="(%2)"/>
      <w:numFmt w:val="lowerLetter"/>
      <w:start w:val="1"/>
    </w:lvl>
  </w:abstractNum>
  <w:abstractNum w:abstractNumId="120">
    <w:nsid w:val="631B64D4"/>
    <w:multiLevelType w:val="hybridMultilevel"/>
    <w:lvl w:ilvl="0">
      <w:lvlJc w:val="left"/>
      <w:lvlText w:val="%1."/>
      <w:numFmt w:val="decimal"/>
      <w:start w:val="66"/>
    </w:lvl>
  </w:abstractNum>
  <w:abstractNum w:abstractNumId="121">
    <w:nsid w:val="78B5E776"/>
    <w:multiLevelType w:val="hybridMultilevel"/>
    <w:lvl w:ilvl="0">
      <w:lvlJc w:val="left"/>
      <w:lvlText w:val="%1."/>
      <w:numFmt w:val="decimal"/>
      <w:start w:val="69"/>
    </w:lvl>
    <w:lvl w:ilvl="1">
      <w:lvlJc w:val="left"/>
      <w:lvlText w:val="(%2)"/>
      <w:numFmt w:val="lowerLetter"/>
      <w:start w:val="1"/>
    </w:lvl>
  </w:abstractNum>
  <w:abstractNum w:abstractNumId="122">
    <w:nsid w:val="75486E47"/>
    <w:multiLevelType w:val="hybridMultilevel"/>
    <w:lvl w:ilvl="0">
      <w:lvlJc w:val="left"/>
      <w:lvlText w:val="%1."/>
      <w:numFmt w:val="decimal"/>
      <w:start w:val="76"/>
    </w:lvl>
  </w:abstractNum>
  <w:abstractNum w:abstractNumId="123">
    <w:nsid w:val="6E534CDE"/>
    <w:multiLevelType w:val="hybridMultilevel"/>
    <w:lvl w:ilvl="0">
      <w:lvlJc w:val="left"/>
      <w:lvlText w:val="%1."/>
      <w:numFmt w:val="decimal"/>
      <w:start w:val="77"/>
    </w:lvl>
  </w:abstractNum>
  <w:abstractNum w:abstractNumId="124">
    <w:nsid w:val="1A0DDE32"/>
    <w:multiLevelType w:val="hybridMultilevel"/>
    <w:lvl w:ilvl="0">
      <w:lvlJc w:val="left"/>
      <w:lvlText w:val="%1."/>
      <w:numFmt w:val="decimal"/>
      <w:start w:val="85"/>
    </w:lvl>
  </w:abstractNum>
  <w:abstractNum w:abstractNumId="125">
    <w:nsid w:val="65968C1C"/>
    <w:multiLevelType w:val="hybridMultilevel"/>
    <w:lvl w:ilvl="0">
      <w:lvlJc w:val="left"/>
      <w:lvlText w:val="%1."/>
      <w:numFmt w:val="decimal"/>
      <w:start w:val="86"/>
    </w:lvl>
  </w:abstractNum>
  <w:abstractNum w:abstractNumId="126">
    <w:nsid w:val="46263DEC"/>
    <w:multiLevelType w:val="hybridMultilevel"/>
    <w:lvl w:ilvl="0">
      <w:lvlJc w:val="left"/>
      <w:lvlText w:val="%1"/>
      <w:numFmt w:val="decimal"/>
      <w:start w:val="1"/>
    </w:lvl>
    <w:lvl w:ilvl="1">
      <w:lvlJc w:val="left"/>
      <w:lvlText w:val="(%2)"/>
      <w:numFmt w:val="lowerLetter"/>
      <w:start w:val="1"/>
    </w:lvl>
  </w:abstractNum>
  <w:abstractNum w:abstractNumId="127">
    <w:nsid w:val="260D8C4A"/>
    <w:multiLevelType w:val="hybridMultilevel"/>
    <w:lvl w:ilvl="0">
      <w:lvlJc w:val="left"/>
      <w:lvlText w:val="%1."/>
      <w:numFmt w:val="decimal"/>
      <w:start w:val="88"/>
    </w:lvl>
    <w:lvl w:ilvl="1">
      <w:lvlJc w:val="left"/>
      <w:lvlText w:val="%2"/>
      <w:numFmt w:val="lowerLetter"/>
      <w:start w:val="1"/>
    </w:lvl>
  </w:abstractNum>
  <w:abstractNum w:abstractNumId="128">
    <w:nsid w:val="73D4D3C4"/>
    <w:multiLevelType w:val="hybridMultilevel"/>
    <w:lvl w:ilvl="0">
      <w:lvlJc w:val="left"/>
      <w:lvlText w:val="%1."/>
      <w:numFmt w:val="decimal"/>
      <w:start w:val="89"/>
    </w:lvl>
  </w:abstractNum>
  <w:abstractNum w:abstractNumId="129">
    <w:nsid w:val="746F2E30"/>
    <w:multiLevelType w:val="hybridMultilevel"/>
    <w:lvl w:ilvl="0">
      <w:lvlJc w:val="left"/>
      <w:lvlText w:val="%1."/>
      <w:numFmt w:val="decimal"/>
      <w:start w:val="93"/>
    </w:lvl>
  </w:abstractNum>
  <w:abstractNum w:abstractNumId="130">
    <w:nsid w:val="6FDE8AF6"/>
    <w:multiLevelType w:val="hybridMultilevel"/>
    <w:lvl w:ilvl="0">
      <w:lvlJc w:val="left"/>
      <w:lvlText w:val="%1."/>
      <w:numFmt w:val="decimal"/>
      <w:start w:val="95"/>
    </w:lvl>
  </w:abstractNum>
  <w:abstractNum w:abstractNumId="131">
    <w:nsid w:val="3FC32E20"/>
    <w:multiLevelType w:val="hybridMultilevel"/>
    <w:lvl w:ilvl="0">
      <w:lvlJc w:val="left"/>
      <w:lvlText w:val="%1."/>
      <w:numFmt w:val="decimal"/>
      <w:start w:val="101"/>
    </w:lvl>
  </w:abstractNum>
  <w:abstractNum w:abstractNumId="132">
    <w:nsid w:val="49C0E823"/>
    <w:multiLevelType w:val="hybridMultilevel"/>
    <w:lvl w:ilvl="0">
      <w:lvlJc w:val="left"/>
      <w:lvlText w:val="%1."/>
      <w:numFmt w:val="decimal"/>
      <w:start w:val="104"/>
    </w:lvl>
  </w:abstractNum>
  <w:abstractNum w:abstractNumId="133">
    <w:nsid w:val="14D53685"/>
    <w:multiLevelType w:val="hybridMultilevel"/>
    <w:lvl w:ilvl="0">
      <w:lvlJc w:val="left"/>
      <w:lvlText w:val="%1."/>
      <w:numFmt w:val="decimal"/>
      <w:start w:val="105"/>
    </w:lvl>
  </w:abstractNum>
  <w:abstractNum w:abstractNumId="134">
    <w:nsid w:val="230F856C"/>
    <w:multiLevelType w:val="hybridMultilevel"/>
    <w:lvl w:ilvl="0">
      <w:lvlJc w:val="left"/>
      <w:lvlText w:val="%1."/>
      <w:numFmt w:val="decimal"/>
      <w:start w:val="107"/>
    </w:lvl>
  </w:abstractNum>
  <w:abstractNum w:abstractNumId="135">
    <w:nsid w:val="6EAA85FB"/>
    <w:multiLevelType w:val="hybridMultilevel"/>
    <w:lvl w:ilvl="0">
      <w:lvlJc w:val="left"/>
      <w:lvlText w:val="%1."/>
      <w:numFmt w:val="decimal"/>
      <w:start w:val="108"/>
    </w:lvl>
    <w:lvl w:ilvl="1">
      <w:lvlJc w:val="left"/>
      <w:lvlText w:val="(%2)"/>
      <w:numFmt w:val="lowerLetter"/>
      <w:start w:val="1"/>
    </w:lvl>
  </w:abstractNum>
  <w:abstractNum w:abstractNumId="136">
    <w:nsid w:val="3F06ECB2"/>
    <w:multiLevelType w:val="hybridMultilevel"/>
    <w:lvl w:ilvl="0">
      <w:lvlJc w:val="left"/>
      <w:lvlText w:val="%1."/>
      <w:numFmt w:val="decimal"/>
      <w:start w:val="109"/>
    </w:lvl>
  </w:abstractNum>
  <w:abstractNum w:abstractNumId="137">
    <w:nsid w:val="3B594807"/>
    <w:multiLevelType w:val="hybridMultilevel"/>
    <w:lvl w:ilvl="0">
      <w:lvlJc w:val="left"/>
      <w:lvlText w:val="%1."/>
      <w:numFmt w:val="decimal"/>
      <w:start w:val="113"/>
    </w:lvl>
    <w:lvl w:ilvl="1">
      <w:lvlJc w:val="left"/>
      <w:lvlText w:val="(%2)"/>
      <w:numFmt w:val="lowerLetter"/>
      <w:start w:val="1"/>
    </w:lvl>
  </w:abstractNum>
  <w:abstractNum w:abstractNumId="138">
    <w:nsid w:val="6CAA2304"/>
    <w:multiLevelType w:val="hybridMultilevel"/>
    <w:lvl w:ilvl="0">
      <w:lvlJc w:val="left"/>
      <w:lvlText w:val="%1."/>
      <w:numFmt w:val="decimal"/>
      <w:start w:val="118"/>
    </w:lvl>
  </w:abstractNum>
  <w:abstractNum w:abstractNumId="139">
    <w:nsid w:val="3F7C2FF4"/>
    <w:multiLevelType w:val="hybridMultilevel"/>
    <w:lvl w:ilvl="0">
      <w:lvlJc w:val="left"/>
      <w:lvlText w:val="%1."/>
      <w:numFmt w:val="decimal"/>
      <w:start w:val="122"/>
    </w:lvl>
  </w:abstractNum>
  <w:abstractNum w:abstractNumId="140">
    <w:nsid w:val="25413BEC"/>
    <w:multiLevelType w:val="hybridMultilevel"/>
    <w:lvl w:ilvl="0">
      <w:lvlJc w:val="left"/>
      <w:lvlText w:val="%1."/>
      <w:numFmt w:val="decimal"/>
      <w:start w:val="123"/>
    </w:lvl>
  </w:abstractNum>
  <w:abstractNum w:abstractNumId="141">
    <w:nsid w:val="17180B0B"/>
    <w:multiLevelType w:val="hybridMultilevel"/>
    <w:lvl w:ilvl="0">
      <w:lvlJc w:val="left"/>
      <w:lvlText w:val="%1."/>
      <w:numFmt w:val="decimal"/>
      <w:start w:val="126"/>
    </w:lvl>
  </w:abstractNum>
  <w:abstractNum w:abstractNumId="142">
    <w:nsid w:val="579328B9"/>
    <w:multiLevelType w:val="hybridMultilevel"/>
    <w:lvl w:ilvl="0">
      <w:lvlJc w:val="left"/>
      <w:lvlText w:val="%1."/>
      <w:numFmt w:val="decimal"/>
      <w:start w:val="132"/>
    </w:lvl>
  </w:abstractNum>
  <w:abstractNum w:abstractNumId="143">
    <w:nsid w:val="5D205E20"/>
    <w:multiLevelType w:val="hybridMultilevel"/>
    <w:lvl w:ilvl="0">
      <w:lvlJc w:val="left"/>
      <w:lvlText w:val="%1."/>
      <w:numFmt w:val="decimal"/>
      <w:start w:val="135"/>
    </w:lvl>
  </w:abstractNum>
  <w:abstractNum w:abstractNumId="144">
    <w:nsid w:val="11CCA8BA"/>
    <w:multiLevelType w:val="hybridMultilevel"/>
    <w:lvl w:ilvl="0">
      <w:lvlJc w:val="left"/>
      <w:lvlText w:val="%1."/>
      <w:numFmt w:val="decimal"/>
      <w:start w:val="140"/>
    </w:lvl>
    <w:lvl w:ilvl="1">
      <w:lvlJc w:val="left"/>
      <w:lvlText w:val="(%2)"/>
      <w:numFmt w:val="lowerLetter"/>
      <w:start w:val="1"/>
    </w:lvl>
    <w:lvl w:ilvl="2">
      <w:lvlJc w:val="left"/>
      <w:lvlText w:val="(%3)"/>
      <w:numFmt w:val="lowerRoman"/>
      <w:start w:val="1"/>
    </w:lvl>
  </w:abstractNum>
  <w:abstractNum w:abstractNumId="145">
    <w:nsid w:val="4D32AB86"/>
    <w:multiLevelType w:val="hybridMultilevel"/>
    <w:lvl w:ilvl="0">
      <w:lvlJc w:val="left"/>
      <w:lvlText w:val="(%1)"/>
      <w:numFmt w:val="lowerLetter"/>
      <w:start w:val="3"/>
    </w:lvl>
  </w:abstractNum>
  <w:abstractNum w:abstractNumId="146">
    <w:nsid w:val="3F07ACC3"/>
    <w:multiLevelType w:val="hybridMultilevel"/>
    <w:lvl w:ilvl="0">
      <w:lvlJc w:val="left"/>
      <w:lvlText w:val="(%1)"/>
      <w:numFmt w:val="lowerLetter"/>
      <w:start w:val="4"/>
    </w:lvl>
    <w:lvl w:ilvl="1">
      <w:lvlJc w:val="left"/>
      <w:lvlText w:val="(%2)"/>
      <w:numFmt w:val="lowerRoman"/>
      <w:start w:val="1"/>
    </w:lvl>
  </w:abstractNum>
  <w:abstractNum w:abstractNumId="147">
    <w:nsid w:val="6B47F63E"/>
    <w:multiLevelType w:val="hybridMultilevel"/>
    <w:lvl w:ilvl="0">
      <w:lvlJc w:val="left"/>
      <w:lvlText w:val="%1"/>
      <w:numFmt w:val="decimal"/>
      <w:start w:val="1"/>
    </w:lvl>
    <w:lvl w:ilvl="1">
      <w:lvlJc w:val="left"/>
      <w:lvlText w:val="(%2)"/>
      <w:numFmt w:val="lowerLetter"/>
      <w:start w:val="5"/>
    </w:lvl>
  </w:abstractNum>
  <w:abstractNum w:abstractNumId="148">
    <w:nsid w:val="5CB44A05"/>
    <w:multiLevelType w:val="hybridMultilevel"/>
    <w:lvl w:ilvl="0">
      <w:lvlJc w:val="left"/>
      <w:lvlText w:val="%1."/>
      <w:numFmt w:val="decimal"/>
      <w:start w:val="141"/>
    </w:lvl>
    <w:lvl w:ilvl="1">
      <w:lvlJc w:val="left"/>
      <w:lvlText w:val="(%2)"/>
      <w:numFmt w:val="lowerLetter"/>
      <w:start w:val="1"/>
    </w:lvl>
  </w:abstractNum>
  <w:abstractNum w:abstractNumId="149">
    <w:nsid w:val="16CF80F1"/>
    <w:multiLevelType w:val="hybridMultilevel"/>
    <w:lvl w:ilvl="0">
      <w:lvlJc w:val="left"/>
      <w:lvlText w:val="%1."/>
      <w:numFmt w:val="decimal"/>
      <w:start w:val="142"/>
    </w:lvl>
  </w:abstractNum>
  <w:abstractNum w:abstractNumId="150">
    <w:nsid w:val="1C695DEC"/>
    <w:multiLevelType w:val="hybridMultilevel"/>
    <w:lvl w:ilvl="0">
      <w:lvlJc w:val="left"/>
      <w:lvlText w:val="%1."/>
      <w:numFmt w:val="decimal"/>
      <w:start w:val="144"/>
    </w:lvl>
  </w:abstractNum>
  <w:abstractNum w:abstractNumId="151">
    <w:nsid w:val="3FCFAED9"/>
    <w:multiLevelType w:val="hybridMultilevel"/>
    <w:lvl w:ilvl="0">
      <w:lvlJc w:val="left"/>
      <w:lvlText w:val="%1."/>
      <w:numFmt w:val="decimal"/>
      <w:start w:val="145"/>
    </w:lvl>
    <w:lvl w:ilvl="1">
      <w:lvlJc w:val="left"/>
      <w:lvlText w:val="(%2)"/>
      <w:numFmt w:val="lowerLetter"/>
      <w:start w:val="1"/>
    </w:lvl>
  </w:abstractNum>
  <w:abstractNum w:abstractNumId="152">
    <w:nsid w:val="F856867"/>
    <w:multiLevelType w:val="hybridMultilevel"/>
    <w:lvl w:ilvl="0">
      <w:lvlJc w:val="left"/>
      <w:lvlText w:val="%1."/>
      <w:numFmt w:val="decimal"/>
      <w:start w:val="148"/>
    </w:lvl>
    <w:lvl w:ilvl="1">
      <w:lvlJc w:val="left"/>
      <w:lvlText w:val="(%2)"/>
      <w:numFmt w:val="lowerLetter"/>
      <w:start w:val="1"/>
    </w:lvl>
  </w:abstractNum>
  <w:abstractNum w:abstractNumId="153">
    <w:nsid w:val="11B1CC33"/>
    <w:multiLevelType w:val="hybridMultilevel"/>
    <w:lvl w:ilvl="0">
      <w:lvlJc w:val="left"/>
      <w:lvlText w:val="(%1)"/>
      <w:numFmt w:val="lowerLetter"/>
      <w:start w:val="2"/>
    </w:lvl>
  </w:abstractNum>
  <w:abstractNum w:abstractNumId="154">
    <w:nsid w:val="2E22FBB7"/>
    <w:multiLevelType w:val="hybridMultilevel"/>
    <w:lvl w:ilvl="0">
      <w:lvlJc w:val="left"/>
      <w:lvlText w:val="%1."/>
      <w:numFmt w:val="decimal"/>
      <w:start w:val="150"/>
    </w:lvl>
  </w:abstractNum>
  <w:abstractNum w:abstractNumId="155">
    <w:nsid w:val="29934699"/>
    <w:multiLevelType w:val="hybridMultilevel"/>
    <w:lvl w:ilvl="0">
      <w:lvlJc w:val="left"/>
      <w:lvlText w:val="%1."/>
      <w:numFmt w:val="decimal"/>
      <w:start w:val="152"/>
    </w:lvl>
    <w:lvl w:ilvl="1">
      <w:lvlJc w:val="left"/>
      <w:lvlText w:val="(%2)"/>
      <w:numFmt w:val="lowerLetter"/>
      <w:start w:val="1"/>
    </w:lvl>
  </w:abstractNum>
  <w:abstractNum w:abstractNumId="156">
    <w:nsid w:val="77485850"/>
    <w:multiLevelType w:val="hybridMultilevel"/>
    <w:lvl w:ilvl="0">
      <w:lvlJc w:val="left"/>
      <w:lvlText w:val="(%1)"/>
      <w:numFmt w:val="lowerLetter"/>
      <w:start w:val="4"/>
    </w:lvl>
  </w:abstractNum>
  <w:abstractNum w:abstractNumId="157">
    <w:nsid w:val="744939A3"/>
    <w:multiLevelType w:val="hybridMultilevel"/>
    <w:lvl w:ilvl="0">
      <w:lvlJc w:val="left"/>
      <w:lvlText w:val="%1."/>
      <w:numFmt w:val="decimal"/>
      <w:start w:val="154"/>
    </w:lvl>
  </w:abstractNum>
  <w:abstractNum w:abstractNumId="158">
    <w:nsid w:val="4FA0D2E3"/>
    <w:multiLevelType w:val="hybridMultilevel"/>
    <w:lvl w:ilvl="0">
      <w:lvlJc w:val="left"/>
      <w:lvlText w:val="%1."/>
      <w:numFmt w:val="decimal"/>
      <w:start w:val="155"/>
    </w:lvl>
  </w:abstractNum>
  <w:abstractNum w:abstractNumId="159">
    <w:nsid w:val="6B1D2C14"/>
    <w:multiLevelType w:val="hybridMultilevel"/>
    <w:lvl w:ilvl="0">
      <w:lvlJc w:val="left"/>
      <w:lvlText w:val="%1."/>
      <w:numFmt w:val="decimal"/>
      <w:start w:val="156"/>
    </w:lvl>
  </w:abstractNum>
  <w:abstractNum w:abstractNumId="160">
    <w:nsid w:val="68B867D3"/>
    <w:multiLevelType w:val="hybridMultilevel"/>
    <w:lvl w:ilvl="0">
      <w:lvlJc w:val="left"/>
      <w:lvlText w:val="%1."/>
      <w:numFmt w:val="decimal"/>
      <w:start w:val="158"/>
    </w:lvl>
  </w:abstractNum>
  <w:abstractNum w:abstractNumId="161">
    <w:nsid w:val="3F7F5DD9"/>
    <w:multiLevelType w:val="hybridMultilevel"/>
    <w:lvl w:ilvl="0">
      <w:lvlJc w:val="left"/>
      <w:lvlText w:val="%1."/>
      <w:numFmt w:val="decimal"/>
      <w:start w:val="159"/>
    </w:lvl>
  </w:abstractNum>
  <w:abstractNum w:abstractNumId="162">
    <w:nsid w:val="2AE05A34"/>
    <w:multiLevelType w:val="hybridMultilevel"/>
    <w:lvl w:ilvl="0">
      <w:lvlJc w:val="left"/>
      <w:lvlText w:val="%1."/>
      <w:numFmt w:val="decimal"/>
      <w:start w:val="162"/>
    </w:lvl>
  </w:abstractNum>
  <w:abstractNum w:abstractNumId="163">
    <w:nsid w:val="32794FF7"/>
    <w:multiLevelType w:val="hybridMultilevel"/>
    <w:lvl w:ilvl="0">
      <w:lvlJc w:val="left"/>
      <w:lvlText w:val="%1."/>
      <w:numFmt w:val="decimal"/>
      <w:start w:val="163"/>
    </w:lvl>
  </w:abstractNum>
  <w:abstractNum w:abstractNumId="164">
    <w:nsid w:val="5454945E"/>
    <w:multiLevelType w:val="hybridMultilevel"/>
    <w:lvl w:ilvl="0">
      <w:lvlJc w:val="left"/>
      <w:lvlText w:val="%1)"/>
      <w:numFmt w:val="lowerRoman"/>
      <w:start w:val="1"/>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decimal"/>
      <w:start w:val="1"/>
    </w:lvl>
    <w:lvl w:ilvl="1">
      <w:lvlJc w:val="left"/>
      <w:lvlText w:val="(%2)"/>
      <w:numFmt w:val="lowerLetter"/>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jpeg"/><Relationship Id="rId160" Type="http://schemas.openxmlformats.org/officeDocument/2006/relationships/image" Target="media/image137.jpeg"/><Relationship Id="rId161" Type="http://schemas.openxmlformats.org/officeDocument/2006/relationships/image" Target="media/image138.jpe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jpeg"/><Relationship Id="rId200" Type="http://schemas.openxmlformats.org/officeDocument/2006/relationships/image" Target="media/image177.png"/><Relationship Id="rId201" Type="http://schemas.openxmlformats.org/officeDocument/2006/relationships/image" Target="media/image178.jpeg"/><Relationship Id="rId202" Type="http://schemas.openxmlformats.org/officeDocument/2006/relationships/image" Target="media/image179.png"/><Relationship Id="rId203" Type="http://schemas.openxmlformats.org/officeDocument/2006/relationships/image" Target="media/image180.jpeg"/><Relationship Id="rId204" Type="http://schemas.openxmlformats.org/officeDocument/2006/relationships/image" Target="media/image181.png"/><Relationship Id="rId205" Type="http://schemas.openxmlformats.org/officeDocument/2006/relationships/image" Target="media/image182.jpeg"/><Relationship Id="rId206" Type="http://schemas.openxmlformats.org/officeDocument/2006/relationships/image" Target="media/image183.png"/><Relationship Id="rId207" Type="http://schemas.openxmlformats.org/officeDocument/2006/relationships/image" Target="media/image184.jpeg"/><Relationship Id="rId208" Type="http://schemas.openxmlformats.org/officeDocument/2006/relationships/image" Target="media/image185.png"/><Relationship Id="rId209" Type="http://schemas.openxmlformats.org/officeDocument/2006/relationships/image" Target="media/image186.jpeg"/><Relationship Id="rId210" Type="http://schemas.openxmlformats.org/officeDocument/2006/relationships/image" Target="media/image187.png"/><Relationship Id="rId211" Type="http://schemas.openxmlformats.org/officeDocument/2006/relationships/image" Target="media/image188.jpeg"/><Relationship Id="rId212" Type="http://schemas.openxmlformats.org/officeDocument/2006/relationships/image" Target="media/image189.png"/><Relationship Id="rId213" Type="http://schemas.openxmlformats.org/officeDocument/2006/relationships/image" Target="media/image190.jpeg"/><Relationship Id="rId214" Type="http://schemas.openxmlformats.org/officeDocument/2006/relationships/image" Target="media/image191.png"/><Relationship Id="rId215" Type="http://schemas.openxmlformats.org/officeDocument/2006/relationships/image" Target="media/image192.jpeg"/><Relationship Id="rId216" Type="http://schemas.openxmlformats.org/officeDocument/2006/relationships/image" Target="media/image193.png"/><Relationship Id="rId217" Type="http://schemas.openxmlformats.org/officeDocument/2006/relationships/image" Target="media/image194.jpeg"/><Relationship Id="rId218" Type="http://schemas.openxmlformats.org/officeDocument/2006/relationships/image" Target="media/image195.png"/><Relationship Id="rId219" Type="http://schemas.openxmlformats.org/officeDocument/2006/relationships/image" Target="media/image196.jpeg"/><Relationship Id="rId220" Type="http://schemas.openxmlformats.org/officeDocument/2006/relationships/image" Target="media/image197.png"/><Relationship Id="rId221" Type="http://schemas.openxmlformats.org/officeDocument/2006/relationships/image" Target="media/image198.jpeg"/><Relationship Id="rId222" Type="http://schemas.openxmlformats.org/officeDocument/2006/relationships/image" Target="media/image199.png"/><Relationship Id="rId223" Type="http://schemas.openxmlformats.org/officeDocument/2006/relationships/image" Target="media/image200.jpeg"/><Relationship Id="rId224" Type="http://schemas.openxmlformats.org/officeDocument/2006/relationships/image" Target="media/image201.png"/><Relationship Id="rId225" Type="http://schemas.openxmlformats.org/officeDocument/2006/relationships/image" Target="media/image202.jpeg"/><Relationship Id="rId226" Type="http://schemas.openxmlformats.org/officeDocument/2006/relationships/image" Target="media/image203.png"/><Relationship Id="rId227" Type="http://schemas.openxmlformats.org/officeDocument/2006/relationships/image" Target="media/image204.jpeg"/><Relationship Id="rId228" Type="http://schemas.openxmlformats.org/officeDocument/2006/relationships/image" Target="media/image205.png"/><Relationship Id="rId229" Type="http://schemas.openxmlformats.org/officeDocument/2006/relationships/image" Target="media/image206.jpeg"/><Relationship Id="rId230" Type="http://schemas.openxmlformats.org/officeDocument/2006/relationships/image" Target="media/image207.png"/><Relationship Id="rId231" Type="http://schemas.openxmlformats.org/officeDocument/2006/relationships/image" Target="media/image208.jpeg"/><Relationship Id="rId232" Type="http://schemas.openxmlformats.org/officeDocument/2006/relationships/image" Target="media/image209.png"/><Relationship Id="rId233" Type="http://schemas.openxmlformats.org/officeDocument/2006/relationships/image" Target="media/image210.jpeg"/><Relationship Id="rId234" Type="http://schemas.openxmlformats.org/officeDocument/2006/relationships/image" Target="media/image211.png"/><Relationship Id="rId235" Type="http://schemas.openxmlformats.org/officeDocument/2006/relationships/image" Target="media/image212.jpeg"/><Relationship Id="rId236" Type="http://schemas.openxmlformats.org/officeDocument/2006/relationships/image" Target="media/image213.png"/><Relationship Id="rId237" Type="http://schemas.openxmlformats.org/officeDocument/2006/relationships/image" Target="media/image214.jpeg"/><Relationship Id="rId238" Type="http://schemas.openxmlformats.org/officeDocument/2006/relationships/image" Target="media/image215.png"/><Relationship Id="rId239" Type="http://schemas.openxmlformats.org/officeDocument/2006/relationships/image" Target="media/image216.jpeg"/><Relationship Id="rId240" Type="http://schemas.openxmlformats.org/officeDocument/2006/relationships/image" Target="media/image217.png"/><Relationship Id="rId241" Type="http://schemas.openxmlformats.org/officeDocument/2006/relationships/image" Target="media/image218.jpeg"/><Relationship Id="rId242" Type="http://schemas.openxmlformats.org/officeDocument/2006/relationships/image" Target="media/image219.png"/><Relationship Id="rId243" Type="http://schemas.openxmlformats.org/officeDocument/2006/relationships/image" Target="media/image220.jpeg"/><Relationship Id="rId244" Type="http://schemas.openxmlformats.org/officeDocument/2006/relationships/image" Target="media/image221.png"/><Relationship Id="rId245" Type="http://schemas.openxmlformats.org/officeDocument/2006/relationships/image" Target="media/image222.jpeg"/><Relationship Id="rId246" Type="http://schemas.openxmlformats.org/officeDocument/2006/relationships/image" Target="media/image223.png"/><Relationship Id="rId247" Type="http://schemas.openxmlformats.org/officeDocument/2006/relationships/image" Target="media/image224.jpeg"/><Relationship Id="rId248" Type="http://schemas.openxmlformats.org/officeDocument/2006/relationships/image" Target="media/image225.png"/><Relationship Id="rId249" Type="http://schemas.openxmlformats.org/officeDocument/2006/relationships/image" Target="media/image226.jpeg"/><Relationship Id="rId250" Type="http://schemas.openxmlformats.org/officeDocument/2006/relationships/image" Target="media/image227.png"/><Relationship Id="rId251" Type="http://schemas.openxmlformats.org/officeDocument/2006/relationships/image" Target="media/image228.jpeg"/><Relationship Id="rId252" Type="http://schemas.openxmlformats.org/officeDocument/2006/relationships/image" Target="media/image229.png"/><Relationship Id="rId253" Type="http://schemas.openxmlformats.org/officeDocument/2006/relationships/image" Target="media/image230.jpeg"/><Relationship Id="rId254" Type="http://schemas.openxmlformats.org/officeDocument/2006/relationships/image" Target="media/image231.png"/><Relationship Id="rId255" Type="http://schemas.openxmlformats.org/officeDocument/2006/relationships/image" Target="media/image232.jpeg"/><Relationship Id="rId256" Type="http://schemas.openxmlformats.org/officeDocument/2006/relationships/image" Target="media/image233.png"/><Relationship Id="rId257" Type="http://schemas.openxmlformats.org/officeDocument/2006/relationships/image" Target="media/image234.jpeg"/><Relationship Id="rId258" Type="http://schemas.openxmlformats.org/officeDocument/2006/relationships/image" Target="media/image235.png"/><Relationship Id="rId259" Type="http://schemas.openxmlformats.org/officeDocument/2006/relationships/image" Target="media/image236.jpeg"/><Relationship Id="rId260" Type="http://schemas.openxmlformats.org/officeDocument/2006/relationships/image" Target="media/image237.png"/><Relationship Id="rId261" Type="http://schemas.openxmlformats.org/officeDocument/2006/relationships/image" Target="media/image238.jpeg"/><Relationship Id="rId262" Type="http://schemas.openxmlformats.org/officeDocument/2006/relationships/image" Target="media/image239.png"/><Relationship Id="rId263" Type="http://schemas.openxmlformats.org/officeDocument/2006/relationships/image" Target="media/image240.jpeg"/><Relationship Id="rId264" Type="http://schemas.openxmlformats.org/officeDocument/2006/relationships/image" Target="media/image241.png"/><Relationship Id="rId265" Type="http://schemas.openxmlformats.org/officeDocument/2006/relationships/image" Target="media/image242.jpe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jpeg"/><Relationship Id="rId285" Type="http://schemas.openxmlformats.org/officeDocument/2006/relationships/image" Target="media/image262.jpeg"/><Relationship Id="rId286" Type="http://schemas.openxmlformats.org/officeDocument/2006/relationships/image" Target="media/image263.jpeg"/><Relationship Id="rId287" Type="http://schemas.openxmlformats.org/officeDocument/2006/relationships/image" Target="media/image264.jpeg"/><Relationship Id="rId288" Type="http://schemas.openxmlformats.org/officeDocument/2006/relationships/image" Target="media/image265.jpeg"/><Relationship Id="rId140" Type="http://schemas.openxmlformats.org/officeDocument/2006/relationships/hyperlink" Target="http://www.sec.gov/Archives/edgar/data/1975641/000121390024002027/ff12024ex10-1_zhengyebio.htm" TargetMode="External"/><Relationship Id="rId141" Type="http://schemas.openxmlformats.org/officeDocument/2006/relationships/hyperlink" Target="http://www.sec.gov/Archives/edgar/data/1975641/000121390024002027/ff12024ex10-2_zhengyebio.htm" TargetMode="External"/><Relationship Id="rId142" Type="http://schemas.openxmlformats.org/officeDocument/2006/relationships/hyperlink" Target="http://www.sec.gov/Archives/edgar/data/1975641/000121390024002027/ff12024ex10-3_zhengyebio.htm" TargetMode="External"/><Relationship Id="rId143" Type="http://schemas.openxmlformats.org/officeDocument/2006/relationships/hyperlink" Target="http://www.sec.gov/Archives/edgar/data/1975641/000121390024002027/ff12024ex10-4_zhengyebio.htm" TargetMode="External"/><Relationship Id="rId144" Type="http://schemas.openxmlformats.org/officeDocument/2006/relationships/hyperlink" Target="http://www.sec.gov/Archives/edgar/data/1975641/000121390024002027/ff12024ex10-5_zhengyebio.htm" TargetMode="External"/><Relationship Id="rId145" Type="http://schemas.openxmlformats.org/officeDocument/2006/relationships/hyperlink" Target="http://www.sec.gov/Archives/edgar/data/1975641/000121390024002027/ff12024ex10-6_zhengyebio.htm" TargetMode="External"/><Relationship Id="rId146" Type="http://schemas.openxmlformats.org/officeDocument/2006/relationships/hyperlink" Target="http://www.sec.gov/Archives/edgar/data/1975641/000121390024002027/ff12024ex10-7_zhengyebio.htm" TargetMode="External"/><Relationship Id="rId147" Type="http://schemas.openxmlformats.org/officeDocument/2006/relationships/hyperlink" Target="http://www.sec.gov/Archives/edgar/data/1975641/000121390024002027/ff12024ex10-8_zhengyebio.htm" TargetMode="External"/><Relationship Id="rId148" Type="http://schemas.openxmlformats.org/officeDocument/2006/relationships/hyperlink" Target="http://www.sec.gov/Archives/edgar/data/1975641/000121390024002027/ff12024ex10-9_zhengyebio.htm" TargetMode="External"/><Relationship Id="rId149" Type="http://schemas.openxmlformats.org/officeDocument/2006/relationships/hyperlink" Target="http://www.sec.gov/Archives/edgar/data/1975641/000121390024002027/ff12024ex10-10_zhengyebio.htm" TargetMode="External"/><Relationship Id="rId150" Type="http://schemas.openxmlformats.org/officeDocument/2006/relationships/hyperlink" Target="http://www.sec.gov/Archives/edgar/data/1975641/000121390024002027/ff12024ex10-11_zhengyebio.htm" TargetMode="External"/><Relationship Id="rId151" Type="http://schemas.openxmlformats.org/officeDocument/2006/relationships/hyperlink" Target="http://www.sec.gov/Archives/edgar/data/1975641/000121390024002027/ff12024ex10-12_zhengyebio.htm" TargetMode="External"/><Relationship Id="rId152" Type="http://schemas.openxmlformats.org/officeDocument/2006/relationships/hyperlink" Target="http://www.sec.gov/Archives/edgar/data/1975641/000121390025028214/ea023690801ex10-1_zhengye.htm" TargetMode="External"/><Relationship Id="rId153" Type="http://schemas.openxmlformats.org/officeDocument/2006/relationships/hyperlink" Target="http://www.sec.gov/Archives/edgar/data/1975641/000121390024002027/ff12024ex99-1_zhengyebio.htm" TargetMode="External"/><Relationship Id="rId154" Type="http://schemas.openxmlformats.org/officeDocument/2006/relationships/hyperlink" Target="http://www.sec.gov/Archives/edgar/data/1975641/000121390024043416/ea020284501ex99-10_zhengye.htm" TargetMode="External"/><Relationship Id="rId155" Type="http://schemas.openxmlformats.org/officeDocument/2006/relationships/hyperlink" Target="http://www.sec.gov/Archives/edgar/data/1975641/000121390025061202/ea023916301ex97-2_zhengy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2026-04-28T17:03:51Z</dcterms:created>
  <dcterms:modified xsi:type="dcterms:W3CDTF">2026-04-28T17:03:51Z</dcterms:modified>
</cp:coreProperties>
</file>